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EA3DC" w14:textId="371F7BBA" w:rsidR="00B87F1C" w:rsidRPr="007B59AE" w:rsidRDefault="007B59AE" w:rsidP="00B87F1C">
      <w:pPr>
        <w:jc w:val="center"/>
        <w:rPr>
          <w:sz w:val="18"/>
          <w:szCs w:val="18"/>
        </w:rPr>
      </w:pPr>
      <w:r>
        <w:rPr>
          <w:sz w:val="18"/>
          <w:szCs w:val="18"/>
        </w:rPr>
        <w:fldChar w:fldCharType="begin"/>
      </w:r>
      <w:r>
        <w:rPr>
          <w:sz w:val="18"/>
          <w:szCs w:val="18"/>
        </w:rPr>
        <w:instrText>HYPERLINK "https://doi.org/10.69639/arandu.v13i3.2437"</w:instrText>
      </w:r>
      <w:r>
        <w:rPr>
          <w:sz w:val="18"/>
          <w:szCs w:val="18"/>
        </w:rPr>
      </w:r>
      <w:r>
        <w:rPr>
          <w:sz w:val="18"/>
          <w:szCs w:val="18"/>
        </w:rPr>
        <w:fldChar w:fldCharType="separate"/>
      </w:r>
      <w:r w:rsidRPr="007B59AE">
        <w:rPr>
          <w:rStyle w:val="Hipervnculo"/>
          <w:sz w:val="18"/>
          <w:szCs w:val="18"/>
        </w:rPr>
        <w:t>https://doi.org/10.69639/arandu.v13i3.2437</w:t>
      </w:r>
      <w:r>
        <w:rPr>
          <w:sz w:val="18"/>
          <w:szCs w:val="18"/>
        </w:rPr>
        <w:fldChar w:fldCharType="end"/>
      </w:r>
      <w:r w:rsidR="00B87F1C" w:rsidRPr="007B59AE">
        <w:rPr>
          <w:noProof/>
          <w:sz w:val="18"/>
          <w:szCs w:val="18"/>
          <w:lang w:val="es-EC" w:eastAsia="es-EC"/>
        </w:rPr>
        <w:drawing>
          <wp:anchor distT="0" distB="0" distL="114300" distR="114300" simplePos="0" relativeHeight="251659264" behindDoc="1" locked="0" layoutInCell="1" allowOverlap="1" wp14:anchorId="3A6AF4D3" wp14:editId="191E72AA">
            <wp:simplePos x="0" y="0"/>
            <wp:positionH relativeFrom="column">
              <wp:posOffset>-1114425</wp:posOffset>
            </wp:positionH>
            <wp:positionV relativeFrom="paragraph">
              <wp:posOffset>-933450</wp:posOffset>
            </wp:positionV>
            <wp:extent cx="7629525" cy="780445"/>
            <wp:effectExtent l="0" t="0" r="0" b="635"/>
            <wp:wrapNone/>
            <wp:docPr id="211512242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7629525" cy="78044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F1D5ECB" w14:textId="389801ED" w:rsidR="003F1FB9" w:rsidRPr="00B87F1C" w:rsidRDefault="005E0532" w:rsidP="00B87F1C">
      <w:pPr>
        <w:jc w:val="center"/>
        <w:rPr>
          <w:b/>
          <w:bCs/>
          <w:sz w:val="32"/>
          <w:szCs w:val="32"/>
        </w:rPr>
      </w:pPr>
      <w:r w:rsidRPr="00B87F1C">
        <w:rPr>
          <w:b/>
          <w:bCs/>
          <w:sz w:val="32"/>
          <w:szCs w:val="32"/>
        </w:rPr>
        <w:t xml:space="preserve">Relación entre las Fuentes de Financiamiento y el Flujo de Efectivo en </w:t>
      </w:r>
      <w:proofErr w:type="spellStart"/>
      <w:r w:rsidRPr="00B87F1C">
        <w:rPr>
          <w:b/>
          <w:bCs/>
          <w:sz w:val="32"/>
          <w:szCs w:val="32"/>
        </w:rPr>
        <w:t>Tecport</w:t>
      </w:r>
      <w:proofErr w:type="spellEnd"/>
      <w:r w:rsidRPr="00B87F1C">
        <w:rPr>
          <w:b/>
          <w:bCs/>
          <w:sz w:val="32"/>
          <w:szCs w:val="32"/>
        </w:rPr>
        <w:t xml:space="preserve"> Perú S.A.C., 2020–2024</w:t>
      </w:r>
    </w:p>
    <w:p w14:paraId="1F8723ED" w14:textId="77777777" w:rsidR="00B87F1C" w:rsidRPr="00873AC2" w:rsidRDefault="00B87F1C" w:rsidP="00B87F1C">
      <w:pPr>
        <w:jc w:val="center"/>
        <w:rPr>
          <w:sz w:val="22"/>
          <w:szCs w:val="22"/>
        </w:rPr>
      </w:pPr>
    </w:p>
    <w:p w14:paraId="34CA60B9" w14:textId="77777777" w:rsidR="003F1FB9" w:rsidRPr="00B87F1C" w:rsidRDefault="005E0532" w:rsidP="00B87F1C">
      <w:pPr>
        <w:jc w:val="center"/>
        <w:rPr>
          <w:i/>
          <w:iCs/>
          <w:sz w:val="24"/>
          <w:szCs w:val="24"/>
          <w:lang w:val="en-US"/>
        </w:rPr>
      </w:pPr>
      <w:r w:rsidRPr="00B87F1C">
        <w:rPr>
          <w:i/>
          <w:iCs/>
          <w:sz w:val="24"/>
          <w:szCs w:val="24"/>
          <w:lang w:val="en-US"/>
        </w:rPr>
        <w:t xml:space="preserve">Relationship Between Financing Sources and Cash Flow in </w:t>
      </w:r>
      <w:proofErr w:type="spellStart"/>
      <w:r w:rsidRPr="00B87F1C">
        <w:rPr>
          <w:i/>
          <w:iCs/>
          <w:sz w:val="24"/>
          <w:szCs w:val="24"/>
          <w:lang w:val="en-US"/>
        </w:rPr>
        <w:t>Tecport</w:t>
      </w:r>
      <w:proofErr w:type="spellEnd"/>
      <w:r w:rsidRPr="00B87F1C">
        <w:rPr>
          <w:i/>
          <w:iCs/>
          <w:sz w:val="24"/>
          <w:szCs w:val="24"/>
          <w:lang w:val="en-US"/>
        </w:rPr>
        <w:t xml:space="preserve"> Perú S.A.C., 2020–2024</w:t>
      </w:r>
    </w:p>
    <w:p w14:paraId="716C7FBB" w14:textId="77777777" w:rsidR="00B87F1C" w:rsidRPr="00873AC2" w:rsidRDefault="00B87F1C" w:rsidP="00B87F1C">
      <w:pPr>
        <w:jc w:val="right"/>
        <w:rPr>
          <w:sz w:val="22"/>
          <w:szCs w:val="22"/>
          <w:lang w:val="en-US"/>
        </w:rPr>
      </w:pPr>
    </w:p>
    <w:p w14:paraId="52ED5DEA" w14:textId="77777777" w:rsidR="003F1FB9" w:rsidRPr="00873AC2" w:rsidRDefault="005E0532" w:rsidP="00B87F1C">
      <w:pPr>
        <w:jc w:val="right"/>
        <w:rPr>
          <w:sz w:val="22"/>
          <w:szCs w:val="22"/>
        </w:rPr>
      </w:pPr>
      <w:r w:rsidRPr="00873AC2">
        <w:rPr>
          <w:b/>
          <w:bCs/>
          <w:sz w:val="22"/>
          <w:szCs w:val="22"/>
        </w:rPr>
        <w:t>Mónica Rocío Huarcaya Mendoza</w:t>
      </w:r>
    </w:p>
    <w:p w14:paraId="07A6D006" w14:textId="77777777" w:rsidR="007B59AE" w:rsidRPr="00873AC2" w:rsidRDefault="007B59AE" w:rsidP="007B59AE">
      <w:pPr>
        <w:jc w:val="right"/>
        <w:rPr>
          <w:sz w:val="22"/>
          <w:szCs w:val="22"/>
        </w:rPr>
      </w:pPr>
      <w:hyperlink r:id="rId8" w:history="1">
        <w:r w:rsidRPr="00FA4F0C">
          <w:rPr>
            <w:rStyle w:val="Hipervnculo"/>
            <w:rFonts w:eastAsia="Arial"/>
            <w:sz w:val="22"/>
            <w:szCs w:val="22"/>
          </w:rPr>
          <w:t>monica.huarcaya@unmsm.edu.pe</w:t>
        </w:r>
      </w:hyperlink>
      <w:r>
        <w:rPr>
          <w:sz w:val="22"/>
          <w:szCs w:val="22"/>
        </w:rPr>
        <w:t xml:space="preserve"> </w:t>
      </w:r>
    </w:p>
    <w:p w14:paraId="7738C980" w14:textId="77777777" w:rsidR="003F1FB9" w:rsidRPr="00873AC2" w:rsidRDefault="00DE15D9" w:rsidP="00B87F1C">
      <w:pPr>
        <w:jc w:val="right"/>
        <w:rPr>
          <w:sz w:val="22"/>
          <w:szCs w:val="22"/>
        </w:rPr>
      </w:pPr>
      <w:hyperlink r:id="rId9" w:history="1">
        <w:r w:rsidRPr="00873AC2">
          <w:rPr>
            <w:rStyle w:val="Hipervnculo"/>
            <w:rFonts w:eastAsia="Arial"/>
            <w:sz w:val="22"/>
            <w:szCs w:val="22"/>
          </w:rPr>
          <w:t>https://orcid.org/0009-0006-7445-8497</w:t>
        </w:r>
      </w:hyperlink>
    </w:p>
    <w:p w14:paraId="378581BB" w14:textId="77777777" w:rsidR="003F1FB9" w:rsidRPr="00873AC2" w:rsidRDefault="005E0532" w:rsidP="00B87F1C">
      <w:pPr>
        <w:jc w:val="right"/>
        <w:rPr>
          <w:sz w:val="22"/>
          <w:szCs w:val="22"/>
        </w:rPr>
      </w:pPr>
      <w:r w:rsidRPr="00873AC2">
        <w:rPr>
          <w:sz w:val="22"/>
          <w:szCs w:val="22"/>
        </w:rPr>
        <w:t>Universidad Nacional Mayor de San Marcos</w:t>
      </w:r>
    </w:p>
    <w:p w14:paraId="17CEB150" w14:textId="77777777" w:rsidR="003F1FB9" w:rsidRDefault="005E0532" w:rsidP="00B87F1C">
      <w:pPr>
        <w:jc w:val="right"/>
        <w:rPr>
          <w:sz w:val="22"/>
          <w:szCs w:val="22"/>
        </w:rPr>
      </w:pPr>
      <w:r w:rsidRPr="00873AC2">
        <w:rPr>
          <w:sz w:val="22"/>
          <w:szCs w:val="22"/>
        </w:rPr>
        <w:t>Lima – Perú</w:t>
      </w:r>
    </w:p>
    <w:p w14:paraId="2D29190C" w14:textId="77777777" w:rsidR="00873AC2" w:rsidRPr="00873AC2" w:rsidRDefault="00873AC2" w:rsidP="00B87F1C">
      <w:pPr>
        <w:jc w:val="right"/>
        <w:rPr>
          <w:sz w:val="22"/>
          <w:szCs w:val="22"/>
        </w:rPr>
      </w:pPr>
    </w:p>
    <w:p w14:paraId="6F74FD63" w14:textId="7240FDD3" w:rsidR="003512E7" w:rsidRPr="00873AC2" w:rsidRDefault="0037437C" w:rsidP="00B87F1C">
      <w:pPr>
        <w:jc w:val="right"/>
        <w:rPr>
          <w:sz w:val="22"/>
          <w:szCs w:val="22"/>
        </w:rPr>
      </w:pPr>
      <w:r w:rsidRPr="00873AC2">
        <w:rPr>
          <w:b/>
          <w:bCs/>
          <w:sz w:val="22"/>
          <w:szCs w:val="22"/>
        </w:rPr>
        <w:t>Lizardo Elías Agüero del Carpio</w:t>
      </w:r>
    </w:p>
    <w:p w14:paraId="09FF6F21" w14:textId="77777777" w:rsidR="007B59AE" w:rsidRPr="00873AC2" w:rsidRDefault="007B59AE" w:rsidP="007B59AE">
      <w:pPr>
        <w:jc w:val="right"/>
        <w:rPr>
          <w:sz w:val="22"/>
          <w:szCs w:val="22"/>
        </w:rPr>
      </w:pPr>
      <w:hyperlink r:id="rId10" w:history="1">
        <w:r w:rsidRPr="00FA4F0C">
          <w:rPr>
            <w:rStyle w:val="Hipervnculo"/>
            <w:rFonts w:eastAsia="Arial"/>
            <w:sz w:val="22"/>
            <w:szCs w:val="22"/>
          </w:rPr>
          <w:t>laguerod@unmsm.edu.pe</w:t>
        </w:r>
      </w:hyperlink>
      <w:r>
        <w:rPr>
          <w:rFonts w:eastAsia="Arial"/>
          <w:sz w:val="22"/>
          <w:szCs w:val="22"/>
        </w:rPr>
        <w:t xml:space="preserve"> </w:t>
      </w:r>
    </w:p>
    <w:p w14:paraId="7629A90F" w14:textId="15EC2D38" w:rsidR="003512E7" w:rsidRPr="00873AC2" w:rsidRDefault="00B87F1C" w:rsidP="00B87F1C">
      <w:pPr>
        <w:jc w:val="right"/>
        <w:rPr>
          <w:sz w:val="22"/>
          <w:szCs w:val="22"/>
        </w:rPr>
      </w:pPr>
      <w:hyperlink r:id="rId11" w:history="1">
        <w:r w:rsidRPr="00FA4F0C">
          <w:rPr>
            <w:rStyle w:val="Hipervnculo"/>
            <w:rFonts w:eastAsia="Arial"/>
            <w:sz w:val="22"/>
            <w:szCs w:val="22"/>
          </w:rPr>
          <w:t>https://orcid.org/0000-0003-3790-1489</w:t>
        </w:r>
      </w:hyperlink>
      <w:r>
        <w:rPr>
          <w:rFonts w:eastAsia="Arial"/>
          <w:sz w:val="22"/>
          <w:szCs w:val="22"/>
        </w:rPr>
        <w:t xml:space="preserve"> </w:t>
      </w:r>
    </w:p>
    <w:p w14:paraId="53AF5EF7" w14:textId="77777777" w:rsidR="003512E7" w:rsidRPr="00873AC2" w:rsidRDefault="0037437C" w:rsidP="00B87F1C">
      <w:pPr>
        <w:jc w:val="right"/>
        <w:rPr>
          <w:sz w:val="22"/>
          <w:szCs w:val="22"/>
        </w:rPr>
      </w:pPr>
      <w:r w:rsidRPr="00873AC2">
        <w:rPr>
          <w:sz w:val="22"/>
          <w:szCs w:val="22"/>
        </w:rPr>
        <w:t>Universidad Nacional Mayor de San Marcos</w:t>
      </w:r>
    </w:p>
    <w:p w14:paraId="09DB0380" w14:textId="77777777" w:rsidR="003512E7" w:rsidRDefault="0037437C" w:rsidP="00B87F1C">
      <w:pPr>
        <w:jc w:val="right"/>
        <w:rPr>
          <w:sz w:val="22"/>
          <w:szCs w:val="22"/>
        </w:rPr>
      </w:pPr>
      <w:r w:rsidRPr="00873AC2">
        <w:rPr>
          <w:sz w:val="22"/>
          <w:szCs w:val="22"/>
        </w:rPr>
        <w:t>Lima – Perú</w:t>
      </w:r>
    </w:p>
    <w:p w14:paraId="784E9B5A" w14:textId="77777777" w:rsidR="00B87F1C" w:rsidRDefault="00B87F1C" w:rsidP="00B87F1C">
      <w:pPr>
        <w:jc w:val="right"/>
        <w:rPr>
          <w:sz w:val="22"/>
          <w:szCs w:val="22"/>
        </w:rPr>
      </w:pPr>
    </w:p>
    <w:p w14:paraId="718D3F74" w14:textId="77777777" w:rsidR="00B87F1C" w:rsidRPr="00873AC2" w:rsidRDefault="00B87F1C" w:rsidP="00B87F1C">
      <w:pPr>
        <w:jc w:val="right"/>
        <w:rPr>
          <w:sz w:val="22"/>
          <w:szCs w:val="22"/>
        </w:rPr>
      </w:pPr>
    </w:p>
    <w:p w14:paraId="5ED2065A" w14:textId="77777777" w:rsidR="007B59AE" w:rsidRPr="00006CF5" w:rsidRDefault="007B59AE" w:rsidP="007B59AE">
      <w:pPr>
        <w:jc w:val="right"/>
        <w:rPr>
          <w:i/>
          <w:sz w:val="22"/>
          <w:szCs w:val="22"/>
        </w:rPr>
      </w:pPr>
      <w:bookmarkStart w:id="0" w:name="_Hlk228258404"/>
      <w:bookmarkStart w:id="1" w:name="_Hlk236836944"/>
      <w:r w:rsidRPr="00006CF5">
        <w:rPr>
          <w:i/>
          <w:sz w:val="22"/>
          <w:szCs w:val="22"/>
        </w:rPr>
        <w:t xml:space="preserve">Artículo recibido: 10 junio 2026- Aceptado para publicación:16 </w:t>
      </w:r>
      <w:r>
        <w:rPr>
          <w:i/>
          <w:sz w:val="22"/>
          <w:szCs w:val="22"/>
        </w:rPr>
        <w:t>julio</w:t>
      </w:r>
      <w:r w:rsidRPr="00006CF5">
        <w:rPr>
          <w:i/>
          <w:sz w:val="22"/>
          <w:szCs w:val="22"/>
        </w:rPr>
        <w:t xml:space="preserve"> 2026</w:t>
      </w:r>
      <w:bookmarkEnd w:id="0"/>
    </w:p>
    <w:bookmarkEnd w:id="1"/>
    <w:p w14:paraId="5A14BA9D" w14:textId="77777777" w:rsidR="003F1FB9" w:rsidRDefault="005E0532" w:rsidP="00B87F1C">
      <w:pPr>
        <w:jc w:val="right"/>
        <w:rPr>
          <w:i/>
          <w:iCs/>
          <w:sz w:val="22"/>
          <w:szCs w:val="22"/>
        </w:rPr>
      </w:pPr>
      <w:r w:rsidRPr="00873AC2">
        <w:rPr>
          <w:i/>
          <w:iCs/>
          <w:sz w:val="22"/>
          <w:szCs w:val="22"/>
        </w:rPr>
        <w:t>Conflictos de intereses: Ninguno que declarar.</w:t>
      </w:r>
    </w:p>
    <w:p w14:paraId="066E1C18" w14:textId="77777777" w:rsidR="00B87F1C" w:rsidRPr="00873AC2" w:rsidRDefault="00B87F1C" w:rsidP="00B87F1C">
      <w:pPr>
        <w:jc w:val="right"/>
        <w:rPr>
          <w:sz w:val="22"/>
          <w:szCs w:val="22"/>
        </w:rPr>
      </w:pPr>
    </w:p>
    <w:p w14:paraId="68480D3F" w14:textId="77777777" w:rsidR="003F1FB9" w:rsidRPr="00873AC2" w:rsidRDefault="005E0532" w:rsidP="00B87F1C">
      <w:pPr>
        <w:spacing w:after="240" w:line="360" w:lineRule="auto"/>
        <w:jc w:val="center"/>
        <w:rPr>
          <w:sz w:val="22"/>
          <w:szCs w:val="22"/>
        </w:rPr>
      </w:pPr>
      <w:r w:rsidRPr="00873AC2">
        <w:rPr>
          <w:b/>
          <w:bCs/>
          <w:sz w:val="22"/>
          <w:szCs w:val="22"/>
        </w:rPr>
        <w:t>RESUMEN</w:t>
      </w:r>
    </w:p>
    <w:p w14:paraId="2F311F87" w14:textId="0CAC1971" w:rsidR="003F1FB9" w:rsidRPr="00873AC2" w:rsidRDefault="005E0532" w:rsidP="00873AC2">
      <w:pPr>
        <w:spacing w:line="360" w:lineRule="auto"/>
        <w:jc w:val="both"/>
        <w:rPr>
          <w:sz w:val="22"/>
          <w:szCs w:val="22"/>
        </w:rPr>
      </w:pPr>
      <w:r w:rsidRPr="00873AC2">
        <w:rPr>
          <w:sz w:val="22"/>
          <w:szCs w:val="22"/>
        </w:rPr>
        <w:t xml:space="preserve">El actual escenario económico peruano se caracteriza por restricciones de acceso al crédito y una elevada volatilidad financiera, condiciones que dificultan que las empresas sostengan niveles adecuados de liquidez. Este panorama es particularmente exigente para organizaciones cuya operación depende de manera intensiva del financiamiento externo, como ocurre en el sector de servicios portuarios. El estudio tuvo como objetivo analizar la relación entre las fuentes de financiamiento </w:t>
      </w:r>
      <w:proofErr w:type="spellStart"/>
      <w:r w:rsidRPr="00873AC2">
        <w:rPr>
          <w:sz w:val="22"/>
          <w:szCs w:val="22"/>
        </w:rPr>
        <w:t>financiamiento</w:t>
      </w:r>
      <w:proofErr w:type="spellEnd"/>
      <w:r w:rsidRPr="00873AC2">
        <w:rPr>
          <w:sz w:val="22"/>
          <w:szCs w:val="22"/>
        </w:rPr>
        <w:t xml:space="preserve"> externo y costo financiero y el flujo de efectivo de </w:t>
      </w:r>
      <w:proofErr w:type="spellStart"/>
      <w:r w:rsidRPr="00873AC2">
        <w:rPr>
          <w:sz w:val="22"/>
          <w:szCs w:val="22"/>
        </w:rPr>
        <w:t>Tecport</w:t>
      </w:r>
      <w:proofErr w:type="spellEnd"/>
      <w:r w:rsidRPr="00873AC2">
        <w:rPr>
          <w:sz w:val="22"/>
          <w:szCs w:val="22"/>
        </w:rPr>
        <w:t xml:space="preserve"> Perú S.A.C. durante 2020–2024. Se empleó un enfoque cuantitativo, con diseño no experimental, retrospectivo y correlacional, sobre una población censal de 60 observaciones mensuales obtenidas de los estados financieros de la organización. El procesamiento estadístico, realizado en SPSS versión 29, incluyó estadística descriptiva, correlación de Spearman, regresión lineal simple y análisis de componentes principales (ACP). Los resultados evidenciaron una marcada volatilidad en las dimensiones del flujo de efectivo y una asociación significativa entre el financiamiento externo y los flujos operativo, de inversión y de financiamiento, sin traducirse en un efecto lineal directo sobre el flujo efectivo neto. El ACP identificó un componente estructural común que concentra más de la mitad de la varianza total, evidenciando una articulación sistémica entre las variables. Se concluye que las fuentes de financiamiento se relacionan con la dinámica del flujo de efectivo desde una perspectiva multivariada y no estrictamente lineal, hallazgo que respalda de manera parcial y diferenciada la hipótesis general del estudio y subraya la </w:t>
      </w:r>
      <w:r w:rsidRPr="00873AC2">
        <w:rPr>
          <w:sz w:val="22"/>
          <w:szCs w:val="22"/>
        </w:rPr>
        <w:lastRenderedPageBreak/>
        <w:t>conveniencia de reforzar la planificación financiera en empresas con estructuras de financiamiento comparables.</w:t>
      </w:r>
    </w:p>
    <w:p w14:paraId="2C3AB945" w14:textId="77777777" w:rsidR="0037437C" w:rsidRPr="00873AC2" w:rsidRDefault="0037437C" w:rsidP="00873AC2">
      <w:pPr>
        <w:spacing w:line="360" w:lineRule="auto"/>
        <w:jc w:val="both"/>
        <w:rPr>
          <w:sz w:val="22"/>
          <w:szCs w:val="22"/>
        </w:rPr>
      </w:pPr>
    </w:p>
    <w:p w14:paraId="0A933844" w14:textId="77777777" w:rsidR="003F1FB9" w:rsidRDefault="005E0532" w:rsidP="00B87F1C">
      <w:pPr>
        <w:spacing w:line="360" w:lineRule="auto"/>
        <w:ind w:firstLine="567"/>
        <w:jc w:val="both"/>
        <w:rPr>
          <w:sz w:val="22"/>
          <w:szCs w:val="22"/>
        </w:rPr>
      </w:pPr>
      <w:r w:rsidRPr="00873AC2">
        <w:rPr>
          <w:i/>
          <w:iCs/>
          <w:sz w:val="22"/>
          <w:szCs w:val="22"/>
        </w:rPr>
        <w:t xml:space="preserve">Palabras clave: </w:t>
      </w:r>
      <w:r w:rsidRPr="00873AC2">
        <w:rPr>
          <w:sz w:val="22"/>
          <w:szCs w:val="22"/>
        </w:rPr>
        <w:t>flujo de efectivo, financiamiento empresarial, costo financiero, liquidez, gestión financiera</w:t>
      </w:r>
    </w:p>
    <w:p w14:paraId="7DBB6760" w14:textId="77777777" w:rsidR="00B87F1C" w:rsidRDefault="00B87F1C" w:rsidP="00B87F1C">
      <w:pPr>
        <w:spacing w:line="360" w:lineRule="auto"/>
        <w:ind w:firstLine="567"/>
        <w:jc w:val="both"/>
        <w:rPr>
          <w:sz w:val="22"/>
          <w:szCs w:val="22"/>
        </w:rPr>
      </w:pPr>
    </w:p>
    <w:p w14:paraId="4CE24159" w14:textId="77777777" w:rsidR="003F1FB9" w:rsidRPr="00873AC2" w:rsidRDefault="005E0532" w:rsidP="00B87F1C">
      <w:pPr>
        <w:spacing w:after="240" w:line="360" w:lineRule="auto"/>
        <w:jc w:val="center"/>
        <w:rPr>
          <w:sz w:val="22"/>
          <w:szCs w:val="22"/>
          <w:lang w:val="en-US"/>
        </w:rPr>
      </w:pPr>
      <w:r w:rsidRPr="00873AC2">
        <w:rPr>
          <w:b/>
          <w:bCs/>
          <w:sz w:val="22"/>
          <w:szCs w:val="22"/>
          <w:lang w:val="en-US"/>
        </w:rPr>
        <w:t>ABSTRACT</w:t>
      </w:r>
    </w:p>
    <w:p w14:paraId="1EF1D976" w14:textId="3D06CE8B" w:rsidR="003F1FB9" w:rsidRPr="00873AC2" w:rsidRDefault="005E0532" w:rsidP="00873AC2">
      <w:pPr>
        <w:spacing w:line="360" w:lineRule="auto"/>
        <w:jc w:val="both"/>
        <w:rPr>
          <w:sz w:val="22"/>
          <w:szCs w:val="22"/>
          <w:lang w:val="en-US"/>
        </w:rPr>
      </w:pPr>
      <w:r w:rsidRPr="00873AC2">
        <w:rPr>
          <w:sz w:val="22"/>
          <w:szCs w:val="22"/>
          <w:lang w:val="en-US"/>
        </w:rPr>
        <w:t xml:space="preserve">The current Peruvian economic context is marked by restricted access to credit and high financial volatility, conditions that make it difficult for companies to sustain adequate liquidity levels. This scenario is particularly demanding for organizations whose operations depend heavily on external financing, as in the port services sector. This study aimed to analyze the relationship between financing sources —external financing and financial cost— and the cash flow of </w:t>
      </w:r>
      <w:proofErr w:type="spellStart"/>
      <w:r w:rsidRPr="00873AC2">
        <w:rPr>
          <w:sz w:val="22"/>
          <w:szCs w:val="22"/>
          <w:lang w:val="en-US"/>
        </w:rPr>
        <w:t>Tecport</w:t>
      </w:r>
      <w:proofErr w:type="spellEnd"/>
      <w:r w:rsidRPr="00873AC2">
        <w:rPr>
          <w:sz w:val="22"/>
          <w:szCs w:val="22"/>
          <w:lang w:val="en-US"/>
        </w:rPr>
        <w:t xml:space="preserve"> Perú S.A.C. during 2020–2024. A quantitative approach was applied, with a non-experimental, retrospective, correlational design, based on a census population of 60 monthly observations from the company's financial statements. Statistical processing, carried out in SPSS version 29, included descriptive statistics, Spearman's correlation, simple linear regression, and Principal Component Analysis (PCA). Results showed marked volatility across cash flow dimensions and a significant association between external financing and operating, investing, and financing flows, although without a direct linear effect on net cash flow. PCA identified a common structural component accounting for more than half of the total variance, evidencing a systemic link among the variables. It is concluded that financing sources are related to cash flow dynamics from a multivariate, non-strictly-linear perspective, a finding that partially and differentially supports the study's general hypothesis and underscores the value of strengthening financial planning in companies with comparable financing structures.</w:t>
      </w:r>
    </w:p>
    <w:p w14:paraId="492E71C1" w14:textId="15CEC8FD" w:rsidR="0037437C" w:rsidRPr="00873AC2" w:rsidRDefault="0037437C" w:rsidP="00873AC2">
      <w:pPr>
        <w:spacing w:line="360" w:lineRule="auto"/>
        <w:jc w:val="both"/>
        <w:rPr>
          <w:sz w:val="22"/>
          <w:szCs w:val="22"/>
          <w:lang w:val="en-US"/>
        </w:rPr>
      </w:pPr>
    </w:p>
    <w:p w14:paraId="3F304D72" w14:textId="77777777" w:rsidR="003F1FB9" w:rsidRPr="00873AC2" w:rsidRDefault="005E0532" w:rsidP="00B87F1C">
      <w:pPr>
        <w:spacing w:line="360" w:lineRule="auto"/>
        <w:ind w:firstLine="567"/>
        <w:jc w:val="both"/>
        <w:rPr>
          <w:sz w:val="22"/>
          <w:szCs w:val="22"/>
          <w:lang w:val="en-US"/>
        </w:rPr>
      </w:pPr>
      <w:r w:rsidRPr="00873AC2">
        <w:rPr>
          <w:i/>
          <w:iCs/>
          <w:sz w:val="22"/>
          <w:szCs w:val="22"/>
          <w:lang w:val="en-US"/>
        </w:rPr>
        <w:t xml:space="preserve">Keywords: </w:t>
      </w:r>
      <w:r w:rsidRPr="00873AC2">
        <w:rPr>
          <w:sz w:val="22"/>
          <w:szCs w:val="22"/>
          <w:lang w:val="en-US"/>
        </w:rPr>
        <w:t>cash flow, corporate financing, financial cost, liquidity, financial management</w:t>
      </w:r>
    </w:p>
    <w:p w14:paraId="00D23F70" w14:textId="77777777" w:rsidR="0037437C" w:rsidRPr="00873AC2" w:rsidRDefault="0037437C" w:rsidP="00873AC2">
      <w:pPr>
        <w:spacing w:line="360" w:lineRule="auto"/>
        <w:rPr>
          <w:b/>
          <w:bCs/>
          <w:sz w:val="22"/>
          <w:szCs w:val="22"/>
          <w:lang w:val="en-US"/>
        </w:rPr>
      </w:pPr>
    </w:p>
    <w:p w14:paraId="2AF5252A" w14:textId="77777777" w:rsidR="00B87F1C" w:rsidRDefault="00B87F1C" w:rsidP="00B87F1C">
      <w:pPr>
        <w:rPr>
          <w:b/>
          <w:bCs/>
          <w:lang w:val="en-US"/>
        </w:rPr>
      </w:pPr>
    </w:p>
    <w:p w14:paraId="199F92A7" w14:textId="77777777" w:rsidR="00B87F1C" w:rsidRDefault="00B87F1C" w:rsidP="00B87F1C">
      <w:pPr>
        <w:rPr>
          <w:b/>
          <w:bCs/>
          <w:lang w:val="en-US"/>
        </w:rPr>
      </w:pPr>
    </w:p>
    <w:p w14:paraId="0AB6F372" w14:textId="77777777" w:rsidR="00B87F1C" w:rsidRDefault="00B87F1C" w:rsidP="00B87F1C">
      <w:pPr>
        <w:rPr>
          <w:b/>
          <w:bCs/>
          <w:lang w:val="en-US"/>
        </w:rPr>
      </w:pPr>
    </w:p>
    <w:p w14:paraId="2B3A92CB" w14:textId="77777777" w:rsidR="00B87F1C" w:rsidRDefault="00B87F1C" w:rsidP="00B87F1C">
      <w:pPr>
        <w:rPr>
          <w:b/>
          <w:bCs/>
          <w:lang w:val="en-US"/>
        </w:rPr>
      </w:pPr>
    </w:p>
    <w:p w14:paraId="7DEF3810" w14:textId="77777777" w:rsidR="00B87F1C" w:rsidRDefault="00B87F1C" w:rsidP="00B87F1C">
      <w:pPr>
        <w:rPr>
          <w:b/>
          <w:bCs/>
          <w:lang w:val="en-US"/>
        </w:rPr>
      </w:pPr>
    </w:p>
    <w:p w14:paraId="7F6A2BEC" w14:textId="77777777" w:rsidR="00B87F1C" w:rsidRDefault="00B87F1C" w:rsidP="00B87F1C">
      <w:pPr>
        <w:rPr>
          <w:b/>
          <w:bCs/>
          <w:lang w:val="en-US"/>
        </w:rPr>
      </w:pPr>
    </w:p>
    <w:p w14:paraId="2BB0E93E" w14:textId="77777777" w:rsidR="00B87F1C" w:rsidRDefault="00B87F1C" w:rsidP="00B87F1C">
      <w:pPr>
        <w:rPr>
          <w:b/>
          <w:bCs/>
          <w:lang w:val="en-US"/>
        </w:rPr>
      </w:pPr>
    </w:p>
    <w:p w14:paraId="79FA0284" w14:textId="77777777" w:rsidR="00B87F1C" w:rsidRDefault="00B87F1C" w:rsidP="00B87F1C">
      <w:pPr>
        <w:rPr>
          <w:b/>
          <w:bCs/>
          <w:lang w:val="en-US"/>
        </w:rPr>
      </w:pPr>
    </w:p>
    <w:p w14:paraId="1B0AD0B9" w14:textId="77777777" w:rsidR="00B87F1C" w:rsidRDefault="00B87F1C" w:rsidP="00B87F1C">
      <w:pPr>
        <w:rPr>
          <w:b/>
          <w:bCs/>
          <w:lang w:val="en-US"/>
        </w:rPr>
      </w:pPr>
    </w:p>
    <w:p w14:paraId="19C9D4B5" w14:textId="77777777" w:rsidR="00B87F1C" w:rsidRPr="00C22DC4" w:rsidRDefault="00B87F1C" w:rsidP="00B87F1C">
      <w:pPr>
        <w:rPr>
          <w:b/>
          <w:bCs/>
          <w:lang w:val="en-US"/>
        </w:rPr>
      </w:pPr>
    </w:p>
    <w:p w14:paraId="6EF1D488" w14:textId="77777777" w:rsidR="00B87F1C" w:rsidRPr="00C22DC4" w:rsidRDefault="00B87F1C" w:rsidP="00B87F1C">
      <w:pPr>
        <w:rPr>
          <w:sz w:val="18"/>
          <w:szCs w:val="18"/>
          <w:lang w:val="en-US"/>
        </w:rPr>
      </w:pPr>
    </w:p>
    <w:p w14:paraId="0DBE3CBD" w14:textId="4E7348C3" w:rsidR="00166393" w:rsidRDefault="00B87F1C" w:rsidP="00B87F1C">
      <w:pPr>
        <w:rPr>
          <w:b/>
          <w:bCs/>
          <w:sz w:val="22"/>
          <w:szCs w:val="22"/>
        </w:rPr>
      </w:pPr>
      <w:r w:rsidRPr="00C22DC4">
        <w:rPr>
          <w:sz w:val="18"/>
          <w:szCs w:val="18"/>
          <w:lang w:val="es-EC"/>
        </w:rPr>
        <w:t xml:space="preserve">Todo el contenido de la Revista Científica Internacional Arandu UTIC publicado en este sitio está disponible bajo licencia Creative Commons </w:t>
      </w:r>
      <w:proofErr w:type="spellStart"/>
      <w:r w:rsidRPr="00C22DC4">
        <w:rPr>
          <w:sz w:val="18"/>
          <w:szCs w:val="18"/>
          <w:lang w:val="es-EC"/>
        </w:rPr>
        <w:t>Atribution</w:t>
      </w:r>
      <w:proofErr w:type="spellEnd"/>
      <w:r w:rsidRPr="00C22DC4">
        <w:rPr>
          <w:sz w:val="18"/>
          <w:szCs w:val="18"/>
          <w:lang w:val="es-EC"/>
        </w:rPr>
        <w:t xml:space="preserve"> 4.0 International. </w:t>
      </w:r>
      <w:r w:rsidRPr="00C22DC4">
        <w:rPr>
          <w:noProof/>
          <w:sz w:val="18"/>
          <w:szCs w:val="18"/>
          <w:lang w:val="es-EC"/>
        </w:rPr>
        <w:drawing>
          <wp:inline distT="0" distB="0" distL="0" distR="0" wp14:anchorId="37BB3549" wp14:editId="23F80032">
            <wp:extent cx="371475" cy="133350"/>
            <wp:effectExtent l="0" t="0" r="9525" b="0"/>
            <wp:docPr id="1086724144"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71475" cy="133350"/>
                    </a:xfrm>
                    <a:prstGeom prst="rect">
                      <a:avLst/>
                    </a:prstGeom>
                    <a:noFill/>
                    <a:ln>
                      <a:noFill/>
                    </a:ln>
                  </pic:spPr>
                </pic:pic>
              </a:graphicData>
            </a:graphic>
          </wp:inline>
        </w:drawing>
      </w:r>
      <w:r w:rsidR="00166393">
        <w:rPr>
          <w:b/>
          <w:bCs/>
          <w:sz w:val="22"/>
          <w:szCs w:val="22"/>
        </w:rPr>
        <w:br w:type="page"/>
      </w:r>
    </w:p>
    <w:p w14:paraId="3B17F67D" w14:textId="50C41749" w:rsidR="003F1FB9" w:rsidRPr="00873AC2" w:rsidRDefault="005E0532" w:rsidP="00B87F1C">
      <w:pPr>
        <w:spacing w:after="240" w:line="360" w:lineRule="auto"/>
        <w:jc w:val="center"/>
        <w:rPr>
          <w:sz w:val="22"/>
          <w:szCs w:val="22"/>
        </w:rPr>
      </w:pPr>
      <w:r w:rsidRPr="00873AC2">
        <w:rPr>
          <w:b/>
          <w:bCs/>
          <w:sz w:val="22"/>
          <w:szCs w:val="22"/>
        </w:rPr>
        <w:lastRenderedPageBreak/>
        <w:t>INTRODUCCIÓN</w:t>
      </w:r>
    </w:p>
    <w:p w14:paraId="2157FEB7" w14:textId="77777777" w:rsidR="003F1FB9" w:rsidRPr="00873AC2" w:rsidRDefault="005E0532" w:rsidP="00873AC2">
      <w:pPr>
        <w:spacing w:line="360" w:lineRule="auto"/>
        <w:ind w:firstLine="567"/>
        <w:jc w:val="both"/>
        <w:rPr>
          <w:sz w:val="22"/>
          <w:szCs w:val="22"/>
        </w:rPr>
      </w:pPr>
      <w:r w:rsidRPr="00873AC2">
        <w:rPr>
          <w:sz w:val="22"/>
          <w:szCs w:val="22"/>
        </w:rPr>
        <w:t xml:space="preserve">La gestión del financiamiento y del flujo de efectivo se ha convertido en un factor determinante para la sostenibilidad de las organizaciones que operan en entornos de alta volatilidad financiera. En economías emergentes como la peruana, donde el acceso al crédito suele ser limitado y las condiciones macroeconómicas cambian con rapidez, las decisiones sobre cómo financiar las operaciones y cómo administrar la liquidez adquieren un peso estratégico que trasciende el ámbito puramente contable. Informes recientes del Banco Central de Reserva del Perú (2025a, 2025b) documentan un entorno de estabilidad financiera relativa, pero con vulnerabilidades persistentes en el acceso al crédito para el segmento empresarial no financiero, mientras que la Cámara de Comercio de Lima (2024) ha advertido sobre el efecto de la inestabilidad política en las decisiones de inversión y financiamiento de las empresas peruanas. En este contexto, distintos reportes internacionales coinciden en que la gestión de la liquidez se ha convertido en una de las principales preocupaciones de los directores financieros contemporáneos (Sampson, 2024; </w:t>
      </w:r>
      <w:proofErr w:type="spellStart"/>
      <w:r w:rsidRPr="00873AC2">
        <w:rPr>
          <w:sz w:val="22"/>
          <w:szCs w:val="22"/>
        </w:rPr>
        <w:t>Yeltekin</w:t>
      </w:r>
      <w:proofErr w:type="spellEnd"/>
      <w:r w:rsidRPr="00873AC2">
        <w:rPr>
          <w:sz w:val="22"/>
          <w:szCs w:val="22"/>
        </w:rPr>
        <w:t>, 2022), lo que refuerza la pertinencia de estudiar con evidencia empírica la relación entre financiamiento y flujo de caja en organizaciones específicas.</w:t>
      </w:r>
    </w:p>
    <w:p w14:paraId="174E1366" w14:textId="63E2600F" w:rsidR="003F1FB9" w:rsidRPr="00873AC2" w:rsidRDefault="005E0532" w:rsidP="00873AC2">
      <w:pPr>
        <w:spacing w:line="360" w:lineRule="auto"/>
        <w:ind w:firstLine="567"/>
        <w:jc w:val="both"/>
        <w:rPr>
          <w:sz w:val="22"/>
          <w:szCs w:val="22"/>
        </w:rPr>
      </w:pPr>
      <w:r w:rsidRPr="00873AC2">
        <w:rPr>
          <w:sz w:val="22"/>
          <w:szCs w:val="22"/>
        </w:rPr>
        <w:t xml:space="preserve">Las empresas que dependen en gran medida de fuentes externas de capital —créditos bancarios, líneas de corto plazo o arrendamiento financiero— quedan expuestas a desajustes entre sus obligaciones de pago y la generación efectiva de caja, lo que puede comprometer su capacidad operativa. Esta problemática se manifiesta con particular intensidad en empresas del sector portuario, cuya operación exige inversiones constantes en maquinaria y equipos de alto valor. </w:t>
      </w:r>
      <w:proofErr w:type="spellStart"/>
      <w:r w:rsidRPr="00873AC2">
        <w:rPr>
          <w:sz w:val="22"/>
          <w:szCs w:val="22"/>
        </w:rPr>
        <w:t>Tecport</w:t>
      </w:r>
      <w:proofErr w:type="spellEnd"/>
      <w:r w:rsidRPr="00873AC2">
        <w:rPr>
          <w:sz w:val="22"/>
          <w:szCs w:val="22"/>
        </w:rPr>
        <w:t xml:space="preserve"> Perú S.A.C., organización dedicada a servicios portuarios que recurre de forma recurrente al arrendamiento financiero (leasing) para la adquisición de equipos, constituye un caso ilustrativo de esta tensión: el desfase entre ingresos operativos y compromisos financieros, sumado a un capital de trabajo negativo, ha generado presiones sostenidas sobre su flujo de caja mensual. Esta situación plantea la necesidad de examinar, con evidencia empírica, en qué medida las fuentes de financiamiento utilizadas por la empresa se asocian con el comportamiento de su flujo de efectivo.</w:t>
      </w:r>
    </w:p>
    <w:p w14:paraId="294AEAE0" w14:textId="77777777" w:rsidR="003F1FB9" w:rsidRPr="00B87F1C" w:rsidRDefault="005E0532" w:rsidP="00873AC2">
      <w:pPr>
        <w:spacing w:line="360" w:lineRule="auto"/>
        <w:rPr>
          <w:sz w:val="22"/>
          <w:szCs w:val="22"/>
        </w:rPr>
      </w:pPr>
      <w:r w:rsidRPr="00B87F1C">
        <w:rPr>
          <w:b/>
          <w:bCs/>
          <w:sz w:val="22"/>
          <w:szCs w:val="22"/>
        </w:rPr>
        <w:t>Fundamentos teóricos</w:t>
      </w:r>
    </w:p>
    <w:p w14:paraId="3A215D68" w14:textId="77777777" w:rsidR="003F1FB9" w:rsidRPr="00873AC2" w:rsidRDefault="005E0532" w:rsidP="00873AC2">
      <w:pPr>
        <w:spacing w:line="360" w:lineRule="auto"/>
        <w:ind w:firstLine="567"/>
        <w:jc w:val="both"/>
        <w:rPr>
          <w:sz w:val="22"/>
          <w:szCs w:val="22"/>
        </w:rPr>
      </w:pPr>
      <w:r w:rsidRPr="00873AC2">
        <w:rPr>
          <w:sz w:val="22"/>
          <w:szCs w:val="22"/>
        </w:rPr>
        <w:t xml:space="preserve">La relación entre estructura de financiamiento y desempeño financiero ha sido abordada desde distintas corrientes teóricas de las finanzas corporativas. La teoría de la estructura de capital propuesta por Modigliani y Miller (1958) sentó las bases para comprender cómo las decisiones de financiamiento inciden en el valor y el costo de capital de las empresas bajo condiciones de mercado perfecto. Sobre esa base, la teoría del orden jerárquico formulada por Myers y Majluf (1984) explica que las organizaciones tienden a priorizar el uso de recursos internos antes de recurrir a deuda o a la emisión de capital, en un intento por minimizar los costos derivados de la asimetría de información entre directivos e inversionistas. Una perspectiva complementaria es la de la teoría de la agencia de Jensen y Meckling (1976), que explica cómo los conflictos de interés </w:t>
      </w:r>
      <w:r w:rsidRPr="00873AC2">
        <w:rPr>
          <w:sz w:val="22"/>
          <w:szCs w:val="22"/>
        </w:rPr>
        <w:lastRenderedPageBreak/>
        <w:t xml:space="preserve">entre accionistas, acreedores y directivos condicionan las decisiones de endeudamiento y el control sobre el uso de los recursos financieros. Asimismo, el modelo de preferencia de estado de Kraus y Litzenberger (1973) y los planteamientos posteriores de Baker y Wurgler (2002) sobre el </w:t>
      </w:r>
      <w:proofErr w:type="spellStart"/>
      <w:r w:rsidRPr="00873AC2">
        <w:rPr>
          <w:sz w:val="22"/>
          <w:szCs w:val="22"/>
        </w:rPr>
        <w:t>market</w:t>
      </w:r>
      <w:proofErr w:type="spellEnd"/>
      <w:r w:rsidRPr="00873AC2">
        <w:rPr>
          <w:sz w:val="22"/>
          <w:szCs w:val="22"/>
        </w:rPr>
        <w:t xml:space="preserve"> timing de la estructura de capital muestran que las empresas ajustan su nivel de apalancamiento en función de las condiciones cambiantes del entorno financiero, más que en función de una estructura óptima fija.</w:t>
      </w:r>
    </w:p>
    <w:p w14:paraId="2D0923F1" w14:textId="77777777" w:rsidR="00742EBD" w:rsidRPr="00873AC2" w:rsidRDefault="005E0532" w:rsidP="00873AC2">
      <w:pPr>
        <w:spacing w:line="360" w:lineRule="auto"/>
        <w:ind w:firstLine="567"/>
        <w:jc w:val="both"/>
        <w:rPr>
          <w:sz w:val="22"/>
          <w:szCs w:val="22"/>
        </w:rPr>
      </w:pPr>
      <w:r w:rsidRPr="00873AC2">
        <w:rPr>
          <w:sz w:val="22"/>
          <w:szCs w:val="22"/>
        </w:rPr>
        <w:t xml:space="preserve">En lo referido al flujo de efectivo, el enfoque del ciclo de conversión de efectivo propuesto por Richards y Laughlin (1980) permite analizar la eficiencia con la que una empresa transforma sus recursos operativos en liquidez disponible, mientras que Shin y Soenen (1998) evidenciaron empíricamente que una gestión eficiente del capital de trabajo se asocia con mejores niveles de rentabilidad corporativa. </w:t>
      </w:r>
    </w:p>
    <w:p w14:paraId="52B4A120" w14:textId="77777777" w:rsidR="00742EBD" w:rsidRPr="00873AC2" w:rsidRDefault="005E0532" w:rsidP="00873AC2">
      <w:pPr>
        <w:spacing w:line="360" w:lineRule="auto"/>
        <w:ind w:firstLine="567"/>
        <w:jc w:val="both"/>
        <w:rPr>
          <w:sz w:val="22"/>
          <w:szCs w:val="22"/>
        </w:rPr>
      </w:pPr>
      <w:r w:rsidRPr="00873AC2">
        <w:rPr>
          <w:sz w:val="22"/>
          <w:szCs w:val="22"/>
        </w:rPr>
        <w:t xml:space="preserve">Estos planteamientos han sido complementados por estudios más recientes que abordan el flujo de efectivo como un sistema integrado: Salas-Molina et al. (2016) sostienen que la gestión de caja debe analizarse considerando la interacción simultánea de sus componentes operativos, de inversión y de financiamiento, y no como variables aisladas entre sí. </w:t>
      </w:r>
    </w:p>
    <w:p w14:paraId="76963AE3" w14:textId="614E772B" w:rsidR="003F1FB9" w:rsidRPr="00873AC2" w:rsidRDefault="005E0532" w:rsidP="00873AC2">
      <w:pPr>
        <w:spacing w:line="360" w:lineRule="auto"/>
        <w:ind w:firstLine="567"/>
        <w:jc w:val="both"/>
        <w:rPr>
          <w:sz w:val="22"/>
          <w:szCs w:val="22"/>
        </w:rPr>
      </w:pPr>
      <w:r w:rsidRPr="00873AC2">
        <w:rPr>
          <w:sz w:val="22"/>
          <w:szCs w:val="22"/>
        </w:rPr>
        <w:t xml:space="preserve">Desde el punto de vista normativo, el registro y la clasificación del flujo de efectivo en los estados financieros de </w:t>
      </w:r>
      <w:proofErr w:type="spellStart"/>
      <w:r w:rsidRPr="00873AC2">
        <w:rPr>
          <w:sz w:val="22"/>
          <w:szCs w:val="22"/>
        </w:rPr>
        <w:t>Tecport</w:t>
      </w:r>
      <w:proofErr w:type="spellEnd"/>
      <w:r w:rsidRPr="00873AC2">
        <w:rPr>
          <w:sz w:val="22"/>
          <w:szCs w:val="22"/>
        </w:rPr>
        <w:t xml:space="preserve"> Perú S.A.C. se sustentan en los lineamientos de la Norma Internacional de Contabilidad N.º 7 (NIC 7), equivalente a la IAS 7 del International </w:t>
      </w:r>
      <w:proofErr w:type="spellStart"/>
      <w:r w:rsidRPr="00873AC2">
        <w:rPr>
          <w:sz w:val="22"/>
          <w:szCs w:val="22"/>
        </w:rPr>
        <w:t>Accounting</w:t>
      </w:r>
      <w:proofErr w:type="spellEnd"/>
      <w:r w:rsidRPr="00873AC2">
        <w:rPr>
          <w:sz w:val="22"/>
          <w:szCs w:val="22"/>
        </w:rPr>
        <w:t xml:space="preserve"> </w:t>
      </w:r>
      <w:proofErr w:type="spellStart"/>
      <w:r w:rsidRPr="00873AC2">
        <w:rPr>
          <w:sz w:val="22"/>
          <w:szCs w:val="22"/>
        </w:rPr>
        <w:t>Standards</w:t>
      </w:r>
      <w:proofErr w:type="spellEnd"/>
      <w:r w:rsidRPr="00873AC2">
        <w:rPr>
          <w:sz w:val="22"/>
          <w:szCs w:val="22"/>
        </w:rPr>
        <w:t xml:space="preserve"> Board (2016), que distingue las actividades operativas, de inversión y de financiamiento como las tres dimensiones fundamentales del estado de flujos de efectivo.</w:t>
      </w:r>
    </w:p>
    <w:p w14:paraId="7C5E16BD" w14:textId="77777777" w:rsidR="003F1FB9" w:rsidRPr="00B87F1C" w:rsidRDefault="005E0532" w:rsidP="00873AC2">
      <w:pPr>
        <w:spacing w:line="360" w:lineRule="auto"/>
        <w:rPr>
          <w:sz w:val="22"/>
          <w:szCs w:val="22"/>
        </w:rPr>
      </w:pPr>
      <w:r w:rsidRPr="00B87F1C">
        <w:rPr>
          <w:b/>
          <w:bCs/>
          <w:sz w:val="22"/>
          <w:szCs w:val="22"/>
        </w:rPr>
        <w:t>Antecedentes empíricos</w:t>
      </w:r>
    </w:p>
    <w:p w14:paraId="409B4FAA" w14:textId="77777777" w:rsidR="003F1FB9" w:rsidRPr="00873AC2" w:rsidRDefault="005E0532" w:rsidP="00B87F1C">
      <w:pPr>
        <w:spacing w:line="360" w:lineRule="auto"/>
        <w:ind w:firstLine="567"/>
        <w:jc w:val="both"/>
        <w:rPr>
          <w:sz w:val="22"/>
          <w:szCs w:val="22"/>
        </w:rPr>
      </w:pPr>
      <w:r w:rsidRPr="00873AC2">
        <w:rPr>
          <w:sz w:val="22"/>
          <w:szCs w:val="22"/>
        </w:rPr>
        <w:t xml:space="preserve">En el plano empírico, diversas investigaciones han documentado la relación entre financiamiento externo y desempeño financiero en distintos contextos. He y Ausloos (2017) analizaron el efecto de la crisis financiera global sobre el financiamiento interno y externo de pequeñas y medianas empresas chinas, encontrando que las restricciones crediticias intensifican la dependencia de recursos externos en periodos de inestabilidad. En una línea similar, </w:t>
      </w:r>
      <w:proofErr w:type="spellStart"/>
      <w:r w:rsidRPr="00873AC2">
        <w:rPr>
          <w:sz w:val="22"/>
          <w:szCs w:val="22"/>
        </w:rPr>
        <w:t>Badrane</w:t>
      </w:r>
      <w:proofErr w:type="spellEnd"/>
      <w:r w:rsidRPr="00873AC2">
        <w:rPr>
          <w:sz w:val="22"/>
          <w:szCs w:val="22"/>
        </w:rPr>
        <w:t xml:space="preserve"> y </w:t>
      </w:r>
      <w:proofErr w:type="spellStart"/>
      <w:r w:rsidRPr="00873AC2">
        <w:rPr>
          <w:sz w:val="22"/>
          <w:szCs w:val="22"/>
        </w:rPr>
        <w:t>Bamousse</w:t>
      </w:r>
      <w:proofErr w:type="spellEnd"/>
      <w:r w:rsidRPr="00873AC2">
        <w:rPr>
          <w:sz w:val="22"/>
          <w:szCs w:val="22"/>
        </w:rPr>
        <w:t xml:space="preserve"> (2025) examinaron mecanismos innovadores de financiamiento y su relación con el desempeño financiero de empresas orientadas a la sostenibilidad, concluyendo que la diversificación de fuentes contribuye a reducir la vulnerabilidad financiera. En el contexto peruano, un estudio desarrollado por la Universidad Peruana de Ciencias Aplicadas (2024) sobre empresas agroexportadoras de la costa norte del país reportó una relación inversa entre el nivel de endeudamiento externo y la liquidez, evidenciando que una estructura de financiamiento concentrada en crédito de alto costo puede afectar negativamente la capacidad de pago a corto plazo. De manera complementaria, Layza Bogarín (2020) encontró, en microempresas del sector de transporte fluvial de Pucallpa, que el acceso a financiamiento formal se asocia con mejores niveles de rentabilidad, mientras que el costo del financiamiento incide de forma directa en los márgenes de utilidad.</w:t>
      </w:r>
    </w:p>
    <w:p w14:paraId="214C021A" w14:textId="77777777" w:rsidR="00742EBD" w:rsidRPr="00873AC2" w:rsidRDefault="005E0532" w:rsidP="00B87F1C">
      <w:pPr>
        <w:spacing w:line="360" w:lineRule="auto"/>
        <w:ind w:firstLine="567"/>
        <w:jc w:val="both"/>
        <w:rPr>
          <w:sz w:val="22"/>
          <w:szCs w:val="22"/>
        </w:rPr>
      </w:pPr>
      <w:r w:rsidRPr="00873AC2">
        <w:rPr>
          <w:sz w:val="22"/>
          <w:szCs w:val="22"/>
        </w:rPr>
        <w:lastRenderedPageBreak/>
        <w:t xml:space="preserve">Respecto al flujo de efectivo como variable de estudio, López Cáceres y Ordóñez Campoverde (2022) identificaron que las pequeñas y medianas empresas suelen subutilizar el estado de flujo de efectivo como herramienta de gestión, lo que limita su capacidad de anticipar déficits de liquidez. Moreno Mantarí et al. (2019), en el análisis de una empresa constructora peruana, evidenciaron que la ausencia de mecanismos de proyección de caja agrava los problemas de liquidez asociados al financiamiento externo. </w:t>
      </w:r>
    </w:p>
    <w:p w14:paraId="2C0ADE91" w14:textId="259E7767" w:rsidR="003F1FB9" w:rsidRPr="00873AC2" w:rsidRDefault="005E0532" w:rsidP="00B87F1C">
      <w:pPr>
        <w:spacing w:line="360" w:lineRule="auto"/>
        <w:ind w:firstLine="567"/>
        <w:jc w:val="both"/>
        <w:rPr>
          <w:sz w:val="22"/>
          <w:szCs w:val="22"/>
        </w:rPr>
      </w:pPr>
      <w:r w:rsidRPr="00873AC2">
        <w:rPr>
          <w:sz w:val="22"/>
          <w:szCs w:val="22"/>
        </w:rPr>
        <w:t xml:space="preserve">Por su parte, </w:t>
      </w:r>
      <w:proofErr w:type="spellStart"/>
      <w:r w:rsidRPr="00873AC2">
        <w:rPr>
          <w:sz w:val="22"/>
          <w:szCs w:val="22"/>
        </w:rPr>
        <w:t>Neciosup</w:t>
      </w:r>
      <w:proofErr w:type="spellEnd"/>
      <w:r w:rsidRPr="00873AC2">
        <w:rPr>
          <w:sz w:val="22"/>
          <w:szCs w:val="22"/>
        </w:rPr>
        <w:t xml:space="preserve"> Llontop et al. (2025), en un estudio de valorización empresarial mediante flujo de caja descontado, resaltaron que el flujo operativo constituye la base fundamental para estimar la capacidad de generación de valor de una organización en el tiempo, lo que subraya la relevancia de este indicador más allá de su función de control de liquidez.</w:t>
      </w:r>
    </w:p>
    <w:p w14:paraId="38091880" w14:textId="0DD86957" w:rsidR="003F1FB9" w:rsidRPr="00873AC2" w:rsidRDefault="005E0532" w:rsidP="00B87F1C">
      <w:pPr>
        <w:spacing w:line="360" w:lineRule="auto"/>
        <w:ind w:firstLine="567"/>
        <w:jc w:val="both"/>
        <w:rPr>
          <w:sz w:val="22"/>
          <w:szCs w:val="22"/>
        </w:rPr>
      </w:pPr>
      <w:r w:rsidRPr="00873AC2">
        <w:rPr>
          <w:sz w:val="22"/>
          <w:szCs w:val="22"/>
        </w:rPr>
        <w:t xml:space="preserve">Pese a la relevancia de estos antecedentes, se observa que la mayoría de los estudios revisados se concentran en sectores distintos al portuario o en contextos internacionales, y que buena parte de ellos aborda el financiamiento y el flujo de efectivo como variables relativamente independientes, sin explorar en profundidad su interacción conjunta mediante técnicas multivariadas. Esta situación configura un vacío de conocimiento relevante para empresas peruanas no cotizadas, con operaciones intensivas en activos, que dependen de manera significativa del arrendamiento financiero y del crédito bancario para sostener su actividad. El presente estudio busca contribuir a cerrar dicho vacío, aportando evidencia aplicada al caso de </w:t>
      </w:r>
      <w:proofErr w:type="spellStart"/>
      <w:r w:rsidRPr="00873AC2">
        <w:rPr>
          <w:sz w:val="22"/>
          <w:szCs w:val="22"/>
        </w:rPr>
        <w:t>Tecport</w:t>
      </w:r>
      <w:proofErr w:type="spellEnd"/>
      <w:r w:rsidRPr="00873AC2">
        <w:rPr>
          <w:sz w:val="22"/>
          <w:szCs w:val="22"/>
        </w:rPr>
        <w:t xml:space="preserve"> Perú S.A.C. y proponiendo un enfoque metodológico —basado en correlación, regresión y análisis de componentes principales</w:t>
      </w:r>
      <w:r w:rsidR="0037437C" w:rsidRPr="00873AC2">
        <w:rPr>
          <w:sz w:val="22"/>
          <w:szCs w:val="22"/>
        </w:rPr>
        <w:t xml:space="preserve"> </w:t>
      </w:r>
      <w:r w:rsidRPr="00873AC2">
        <w:rPr>
          <w:sz w:val="22"/>
          <w:szCs w:val="22"/>
        </w:rPr>
        <w:t>que puede ser replicado en investigaciones futuras sobre gestión financiera empresarial.</w:t>
      </w:r>
    </w:p>
    <w:p w14:paraId="4FFDA657" w14:textId="77777777" w:rsidR="003F1FB9" w:rsidRPr="00873AC2" w:rsidRDefault="005E0532" w:rsidP="00B87F1C">
      <w:pPr>
        <w:spacing w:line="360" w:lineRule="auto"/>
        <w:ind w:firstLine="567"/>
        <w:jc w:val="both"/>
        <w:rPr>
          <w:sz w:val="22"/>
          <w:szCs w:val="22"/>
        </w:rPr>
      </w:pPr>
      <w:r w:rsidRPr="00873AC2">
        <w:rPr>
          <w:sz w:val="22"/>
          <w:szCs w:val="22"/>
        </w:rPr>
        <w:t xml:space="preserve">En consecuencia, la presente investigación tuvo como objetivo general analizar la relación entre las fuentes de financiamiento y el flujo de efectivo en la empresa </w:t>
      </w:r>
      <w:proofErr w:type="spellStart"/>
      <w:r w:rsidRPr="00873AC2">
        <w:rPr>
          <w:sz w:val="22"/>
          <w:szCs w:val="22"/>
        </w:rPr>
        <w:t>Tecport</w:t>
      </w:r>
      <w:proofErr w:type="spellEnd"/>
      <w:r w:rsidRPr="00873AC2">
        <w:rPr>
          <w:sz w:val="22"/>
          <w:szCs w:val="22"/>
        </w:rPr>
        <w:t xml:space="preserve"> Perú S.A.C. durante el periodo 2020–2024. De manera específica, se buscó determinar la relación entre el financiamiento externo y el flujo de efectivo, así como la relación entre el costo del financiamiento y dicho flujo. A partir de estos objetivos, se planteó como hipótesis general que existe una relación significativa entre las fuentes de financiamiento y el flujo de efectivo de la empresa durante el periodo analizado, hipótesis que se desagrega en dos hipótesis específicas referidas, respectivamente, al financiamiento externo y al costo financiero.</w:t>
      </w:r>
    </w:p>
    <w:p w14:paraId="50E32827" w14:textId="77777777" w:rsidR="003F1FB9" w:rsidRPr="00873AC2" w:rsidRDefault="005E0532" w:rsidP="007B59AE">
      <w:pPr>
        <w:spacing w:after="240" w:line="360" w:lineRule="auto"/>
        <w:jc w:val="center"/>
        <w:rPr>
          <w:sz w:val="22"/>
          <w:szCs w:val="22"/>
        </w:rPr>
      </w:pPr>
      <w:r w:rsidRPr="00873AC2">
        <w:rPr>
          <w:b/>
          <w:bCs/>
          <w:sz w:val="22"/>
          <w:szCs w:val="22"/>
        </w:rPr>
        <w:t>MATERIALES Y MÉTODOS</w:t>
      </w:r>
    </w:p>
    <w:p w14:paraId="35884420" w14:textId="39A81505" w:rsidR="005E0532" w:rsidRPr="00873AC2" w:rsidRDefault="005E0532" w:rsidP="00B87F1C">
      <w:pPr>
        <w:spacing w:line="360" w:lineRule="auto"/>
        <w:ind w:firstLine="567"/>
        <w:jc w:val="both"/>
        <w:rPr>
          <w:sz w:val="22"/>
          <w:szCs w:val="22"/>
        </w:rPr>
      </w:pPr>
      <w:r w:rsidRPr="00873AC2">
        <w:rPr>
          <w:sz w:val="22"/>
          <w:szCs w:val="22"/>
        </w:rPr>
        <w:t>La investigación se desarrolló bajo un enfoque cuantitativo, dado que se sustentó en la medición objetiva de datos financieros expresados numéricamente, a partir de los cuales se identificaron relaciones estadísticamente significativas entre las variables de estudio. Por su finalidad, el estudio fue de tipo aplicado, orientado a analizar la relación entre las fuentes de financiamiento y el flujo de efectivo con el propósito de generar conocimiento útil para la gestión financiera de la organización, en línea con los principios metodológicos descritos por Hernández-</w:t>
      </w:r>
      <w:r w:rsidRPr="00873AC2">
        <w:rPr>
          <w:sz w:val="22"/>
          <w:szCs w:val="22"/>
        </w:rPr>
        <w:lastRenderedPageBreak/>
        <w:t>Sampieri et al. (2023). El diseño fue no experimental, pues las variables se observaron en su contexto natural sin manipulación intencional, y de carácter retrospectivo, en la medida en que se analizaron datos históricos correspondientes al periodo 2020–2024.</w:t>
      </w:r>
    </w:p>
    <w:p w14:paraId="47AA3EF0" w14:textId="562CE3BE" w:rsidR="003F1FB9" w:rsidRPr="00873AC2" w:rsidRDefault="005E0532" w:rsidP="00B87F1C">
      <w:pPr>
        <w:spacing w:line="360" w:lineRule="auto"/>
        <w:ind w:firstLine="567"/>
        <w:jc w:val="both"/>
        <w:rPr>
          <w:sz w:val="22"/>
          <w:szCs w:val="22"/>
        </w:rPr>
      </w:pPr>
      <w:r w:rsidRPr="00873AC2">
        <w:rPr>
          <w:sz w:val="22"/>
          <w:szCs w:val="22"/>
        </w:rPr>
        <w:t>El nivel de la investigación fue correlacional y explicativo, orientado a establecer la existencia y el grado de relación entre las fuentes de financiamiento, consideradas variable independiente, y el flujo de efectivo, considerado variable dependiente.</w:t>
      </w:r>
    </w:p>
    <w:p w14:paraId="693D69AE" w14:textId="401AFA7C" w:rsidR="003F1FB9" w:rsidRPr="00873AC2" w:rsidRDefault="005E0532" w:rsidP="00B87F1C">
      <w:pPr>
        <w:spacing w:line="360" w:lineRule="auto"/>
        <w:ind w:firstLine="567"/>
        <w:jc w:val="both"/>
        <w:rPr>
          <w:sz w:val="22"/>
          <w:szCs w:val="22"/>
        </w:rPr>
      </w:pPr>
      <w:r w:rsidRPr="00873AC2">
        <w:rPr>
          <w:sz w:val="22"/>
          <w:szCs w:val="22"/>
        </w:rPr>
        <w:t xml:space="preserve">La población de estudio estuvo conformada por los estados financieros mensuales y los registros contables internos de </w:t>
      </w:r>
      <w:proofErr w:type="spellStart"/>
      <w:r w:rsidRPr="00873AC2">
        <w:rPr>
          <w:sz w:val="22"/>
          <w:szCs w:val="22"/>
        </w:rPr>
        <w:t>Tecport</w:t>
      </w:r>
      <w:proofErr w:type="spellEnd"/>
      <w:r w:rsidRPr="00873AC2">
        <w:rPr>
          <w:sz w:val="22"/>
          <w:szCs w:val="22"/>
        </w:rPr>
        <w:t xml:space="preserve"> Perú S.A.C. correspondientes al periodo 2020–2024, lo que totalizó 60 observaciones mensuales (12 meses por cada uno de los cinco años analizados). Dado que se consideró la totalidad de las observaciones disponibles, el estudio se desarrolló bajo un enfoque censal, sin que fuese necesario un procedimiento de muestreo. Las observaciones incluyeron información relativa a las fuentes de financiamiento leasing, préstamos bancarios y obligaciones financieras y a las cuatro dimensiones del flujo de efectivo definidas conforme a la NIC 7: operativo, de inversión, de financiamiento y neto.</w:t>
      </w:r>
    </w:p>
    <w:p w14:paraId="740C3903" w14:textId="77777777" w:rsidR="003F1FB9" w:rsidRPr="00873AC2" w:rsidRDefault="005E0532" w:rsidP="00B87F1C">
      <w:pPr>
        <w:spacing w:line="360" w:lineRule="auto"/>
        <w:ind w:firstLine="567"/>
        <w:jc w:val="both"/>
        <w:rPr>
          <w:sz w:val="22"/>
          <w:szCs w:val="22"/>
        </w:rPr>
      </w:pPr>
      <w:r w:rsidRPr="00873AC2">
        <w:rPr>
          <w:sz w:val="22"/>
          <w:szCs w:val="22"/>
        </w:rPr>
        <w:t>La técnica de recolección de datos empleada fue el análisis documental, consistente en la revisión estructurada de registros contables y financieros elaborados conforme a la Norma Internacional de Contabilidad N.º 7. Los instrumentos utilizados correspondieron a fichas de registro y plantillas de sistematización de información financiera, cuya validez se orientó a la correspondencia entre dichas fichas y las variables, dimensiones e indicadores definidos en el estudio, más que a la evaluación de ítems o preguntas, dado que no se emplearon cuestionarios. Dicha correspondencia fue revisada por juicio de tres expertos en gestión financiera y metodología de la investigación. La confiabilidad de la información se resguardó mediante procedimientos de depuración de registros duplicados, validación de consistencia entre estados financieros y reportes de flujo de efectivo, y verificación de la integridad de la información mensual.</w:t>
      </w:r>
    </w:p>
    <w:p w14:paraId="1C23F722" w14:textId="77777777" w:rsidR="0037437C" w:rsidRPr="00873AC2" w:rsidRDefault="005E0532" w:rsidP="00B87F1C">
      <w:pPr>
        <w:spacing w:line="360" w:lineRule="auto"/>
        <w:ind w:firstLine="567"/>
        <w:jc w:val="both"/>
        <w:rPr>
          <w:sz w:val="22"/>
          <w:szCs w:val="22"/>
        </w:rPr>
      </w:pPr>
      <w:r w:rsidRPr="00873AC2">
        <w:rPr>
          <w:sz w:val="22"/>
          <w:szCs w:val="22"/>
        </w:rPr>
        <w:t xml:space="preserve">El procesamiento de la información se realizó con el software IBM SPSS </w:t>
      </w:r>
      <w:proofErr w:type="spellStart"/>
      <w:r w:rsidRPr="00873AC2">
        <w:rPr>
          <w:sz w:val="22"/>
          <w:szCs w:val="22"/>
        </w:rPr>
        <w:t>Statistics</w:t>
      </w:r>
      <w:proofErr w:type="spellEnd"/>
      <w:r w:rsidRPr="00873AC2">
        <w:rPr>
          <w:sz w:val="22"/>
          <w:szCs w:val="22"/>
        </w:rPr>
        <w:t xml:space="preserve"> versión 29 y Microsoft Excel. En una primera fase se aplicó estadística descriptiva (media, mediana, desviación estándar, valores mínimo y máximo) para caracterizar el comportamiento de cada variable, complementada con diagramas de caja (</w:t>
      </w:r>
      <w:proofErr w:type="spellStart"/>
      <w:r w:rsidRPr="00873AC2">
        <w:rPr>
          <w:sz w:val="22"/>
          <w:szCs w:val="22"/>
        </w:rPr>
        <w:t>boxplots</w:t>
      </w:r>
      <w:proofErr w:type="spellEnd"/>
      <w:r w:rsidRPr="00873AC2">
        <w:rPr>
          <w:sz w:val="22"/>
          <w:szCs w:val="22"/>
        </w:rPr>
        <w:t xml:space="preserve">) para identificar valores atípicos. En una segunda fase se empleó el coeficiente de correlación de Spearman (ρ), apropiado dado que las variables financieras no cumplieron supuestos de normalidad y se trabajó con la totalidad de la población. En una tercera fase se estimaron modelos de regresión lineal simple (Y = β0 + β1X + ε) para evaluar la capacidad explicativa del financiamiento externo y del costo financiero sobre el flujo efectivo neto, considerando un nivel de significancia de p &lt; 0.05. </w:t>
      </w:r>
    </w:p>
    <w:p w14:paraId="13F40B26" w14:textId="2D4D22C0" w:rsidR="005E0532" w:rsidRPr="00873AC2" w:rsidRDefault="005E0532" w:rsidP="00B87F1C">
      <w:pPr>
        <w:spacing w:line="360" w:lineRule="auto"/>
        <w:ind w:firstLine="567"/>
        <w:jc w:val="both"/>
        <w:rPr>
          <w:sz w:val="22"/>
          <w:szCs w:val="22"/>
        </w:rPr>
      </w:pPr>
      <w:r w:rsidRPr="00873AC2">
        <w:rPr>
          <w:sz w:val="22"/>
          <w:szCs w:val="22"/>
        </w:rPr>
        <w:t xml:space="preserve">Finalmente, se aplicó un análisis de componentes principales (ACP) como técnica complementaria de robustez, orientada a examinar la estructura interna de las dimensiones del </w:t>
      </w:r>
      <w:r w:rsidRPr="00873AC2">
        <w:rPr>
          <w:sz w:val="22"/>
          <w:szCs w:val="22"/>
        </w:rPr>
        <w:lastRenderedPageBreak/>
        <w:t xml:space="preserve">flujo de efectivo y a identificar patrones de agrupamiento no evidenciados por los modelos bivariados. </w:t>
      </w:r>
    </w:p>
    <w:p w14:paraId="145C6961" w14:textId="77777777" w:rsidR="003F1FB9" w:rsidRPr="00873AC2" w:rsidRDefault="005E0532" w:rsidP="00B87F1C">
      <w:pPr>
        <w:spacing w:line="360" w:lineRule="auto"/>
        <w:ind w:firstLine="567"/>
        <w:jc w:val="both"/>
        <w:rPr>
          <w:sz w:val="22"/>
          <w:szCs w:val="22"/>
        </w:rPr>
      </w:pPr>
      <w:r w:rsidRPr="00873AC2">
        <w:rPr>
          <w:sz w:val="22"/>
          <w:szCs w:val="22"/>
        </w:rPr>
        <w:t xml:space="preserve">Este último análisis se apoyó conceptualmente en los principios de gestión financiera estratégica descritos por Brigham y Houston (2022), Ross et al. (2022) y Van </w:t>
      </w:r>
      <w:proofErr w:type="spellStart"/>
      <w:r w:rsidRPr="00873AC2">
        <w:rPr>
          <w:sz w:val="22"/>
          <w:szCs w:val="22"/>
        </w:rPr>
        <w:t>Horne</w:t>
      </w:r>
      <w:proofErr w:type="spellEnd"/>
      <w:r w:rsidRPr="00873AC2">
        <w:rPr>
          <w:sz w:val="22"/>
          <w:szCs w:val="22"/>
        </w:rPr>
        <w:t xml:space="preserve"> y Wachowicz (2009), quienes coinciden en que el desempeño financiero de una empresa debe evaluarse de forma integrada y no a través de indicadores aislados.</w:t>
      </w:r>
    </w:p>
    <w:p w14:paraId="38436709" w14:textId="77777777" w:rsidR="003F1FB9" w:rsidRPr="00873AC2" w:rsidRDefault="005E0532" w:rsidP="00B87F1C">
      <w:pPr>
        <w:spacing w:line="360" w:lineRule="auto"/>
        <w:ind w:firstLine="567"/>
        <w:jc w:val="both"/>
        <w:rPr>
          <w:sz w:val="22"/>
          <w:szCs w:val="22"/>
        </w:rPr>
      </w:pPr>
      <w:r w:rsidRPr="00873AC2">
        <w:rPr>
          <w:sz w:val="22"/>
          <w:szCs w:val="22"/>
        </w:rPr>
        <w:t xml:space="preserve">La investigación se ajustó a los principios de integridad, transparencia y confidencialidad que rigen la ética científica. La información financiera de </w:t>
      </w:r>
      <w:proofErr w:type="spellStart"/>
      <w:r w:rsidRPr="00873AC2">
        <w:rPr>
          <w:sz w:val="22"/>
          <w:szCs w:val="22"/>
        </w:rPr>
        <w:t>Tecport</w:t>
      </w:r>
      <w:proofErr w:type="spellEnd"/>
      <w:r w:rsidRPr="00873AC2">
        <w:rPr>
          <w:sz w:val="22"/>
          <w:szCs w:val="22"/>
        </w:rPr>
        <w:t xml:space="preserve"> Perú S.A.C. se utilizó exclusivamente con fines académicos, garantizando la protección de los datos de la empresa conforme al Código de Ética de la Universidad Nacional Mayor de San Marcos y a los principios de la Declaración de Helsinki.</w:t>
      </w:r>
    </w:p>
    <w:p w14:paraId="0CD491F9" w14:textId="77777777" w:rsidR="003F1FB9" w:rsidRPr="00873AC2" w:rsidRDefault="005E0532" w:rsidP="00B87F1C">
      <w:pPr>
        <w:spacing w:after="240" w:line="360" w:lineRule="auto"/>
        <w:jc w:val="center"/>
        <w:rPr>
          <w:sz w:val="22"/>
          <w:szCs w:val="22"/>
        </w:rPr>
      </w:pPr>
      <w:r w:rsidRPr="00873AC2">
        <w:rPr>
          <w:b/>
          <w:bCs/>
          <w:sz w:val="22"/>
          <w:szCs w:val="22"/>
        </w:rPr>
        <w:t>RESULTADOS Y DISCUSIÓN</w:t>
      </w:r>
    </w:p>
    <w:p w14:paraId="51F0BECB" w14:textId="07B410F9" w:rsidR="003F1FB9" w:rsidRPr="00873AC2" w:rsidRDefault="005E0532" w:rsidP="00873AC2">
      <w:pPr>
        <w:spacing w:line="360" w:lineRule="auto"/>
        <w:ind w:firstLine="567"/>
        <w:jc w:val="both"/>
        <w:rPr>
          <w:sz w:val="22"/>
          <w:szCs w:val="22"/>
        </w:rPr>
      </w:pPr>
      <w:r w:rsidRPr="00873AC2">
        <w:rPr>
          <w:sz w:val="22"/>
          <w:szCs w:val="22"/>
        </w:rPr>
        <w:t xml:space="preserve">El análisis estadístico se organizó en cuatro etapas complementarias: caracterización descriptiva de las variables, identificación de valores atípicos, contraste de hipótesis mediante correlación y regresión, y verificación estructural mediante análisis de componentes principales. El propósito central fue contrastar la hipótesis general de que existe una relación significativa entre las fuentes de financiamiento y el flujo de efectivo de </w:t>
      </w:r>
      <w:proofErr w:type="spellStart"/>
      <w:r w:rsidRPr="00873AC2">
        <w:rPr>
          <w:sz w:val="22"/>
          <w:szCs w:val="22"/>
        </w:rPr>
        <w:t>Tecport</w:t>
      </w:r>
      <w:proofErr w:type="spellEnd"/>
      <w:r w:rsidRPr="00873AC2">
        <w:rPr>
          <w:sz w:val="22"/>
          <w:szCs w:val="22"/>
        </w:rPr>
        <w:t xml:space="preserve"> Perú S.A.C. durante el periodo 2020–2024.</w:t>
      </w:r>
    </w:p>
    <w:p w14:paraId="1BD45A93" w14:textId="77777777" w:rsidR="003F1FB9" w:rsidRPr="00B87F1C" w:rsidRDefault="005E0532" w:rsidP="00873AC2">
      <w:pPr>
        <w:spacing w:line="360" w:lineRule="auto"/>
        <w:rPr>
          <w:sz w:val="22"/>
          <w:szCs w:val="22"/>
        </w:rPr>
      </w:pPr>
      <w:r w:rsidRPr="00B87F1C">
        <w:rPr>
          <w:b/>
          <w:bCs/>
          <w:sz w:val="22"/>
          <w:szCs w:val="22"/>
        </w:rPr>
        <w:t>Comportamiento descriptivo de las variables</w:t>
      </w:r>
    </w:p>
    <w:p w14:paraId="3CA3714D" w14:textId="54044BBD" w:rsidR="003F1FB9" w:rsidRPr="00873AC2" w:rsidRDefault="005E0532" w:rsidP="00873AC2">
      <w:pPr>
        <w:spacing w:line="360" w:lineRule="auto"/>
        <w:ind w:firstLine="567"/>
        <w:jc w:val="both"/>
        <w:rPr>
          <w:sz w:val="22"/>
          <w:szCs w:val="22"/>
        </w:rPr>
      </w:pPr>
      <w:r w:rsidRPr="00873AC2">
        <w:rPr>
          <w:sz w:val="22"/>
          <w:szCs w:val="22"/>
        </w:rPr>
        <w:t>La Tabla 1 resume los estadísticos descriptivos de las seis variables analizadas a partir de las 60 observaciones mensuales.</w:t>
      </w:r>
    </w:p>
    <w:p w14:paraId="653E5DC7" w14:textId="77777777" w:rsidR="003F1FB9" w:rsidRPr="00873AC2" w:rsidRDefault="005E0532" w:rsidP="00B87F1C">
      <w:pPr>
        <w:rPr>
          <w:sz w:val="22"/>
          <w:szCs w:val="22"/>
        </w:rPr>
      </w:pPr>
      <w:r w:rsidRPr="00873AC2">
        <w:rPr>
          <w:b/>
          <w:bCs/>
          <w:sz w:val="22"/>
          <w:szCs w:val="22"/>
        </w:rPr>
        <w:t>Tabla 1</w:t>
      </w:r>
    </w:p>
    <w:p w14:paraId="24A08E16" w14:textId="77777777" w:rsidR="003F1FB9" w:rsidRPr="00873AC2" w:rsidRDefault="005E0532" w:rsidP="00B87F1C">
      <w:pPr>
        <w:rPr>
          <w:sz w:val="22"/>
          <w:szCs w:val="22"/>
        </w:rPr>
      </w:pPr>
      <w:r w:rsidRPr="00873AC2">
        <w:rPr>
          <w:i/>
          <w:iCs/>
          <w:sz w:val="22"/>
          <w:szCs w:val="22"/>
        </w:rPr>
        <w:t>Estadísticos descriptivos de las variables del estudio (</w:t>
      </w:r>
      <w:proofErr w:type="spellStart"/>
      <w:r w:rsidRPr="00873AC2">
        <w:rPr>
          <w:i/>
          <w:iCs/>
          <w:sz w:val="22"/>
          <w:szCs w:val="22"/>
        </w:rPr>
        <w:t>Tecport</w:t>
      </w:r>
      <w:proofErr w:type="spellEnd"/>
      <w:r w:rsidRPr="00873AC2">
        <w:rPr>
          <w:i/>
          <w:iCs/>
          <w:sz w:val="22"/>
          <w:szCs w:val="22"/>
        </w:rPr>
        <w:t xml:space="preserve"> Perú S.A.C., 2020–2024)</w:t>
      </w:r>
    </w:p>
    <w:tbl>
      <w:tblPr>
        <w:tblW w:w="86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59"/>
        <w:gridCol w:w="1245"/>
        <w:gridCol w:w="1357"/>
        <w:gridCol w:w="1486"/>
        <w:gridCol w:w="1485"/>
        <w:gridCol w:w="1210"/>
      </w:tblGrid>
      <w:tr w:rsidR="003F1FB9" w:rsidRPr="00B87F1C" w14:paraId="05A33698" w14:textId="77777777" w:rsidTr="00B87F1C">
        <w:trPr>
          <w:tblHeader/>
        </w:trPr>
        <w:tc>
          <w:tcPr>
            <w:tcW w:w="1980" w:type="dxa"/>
            <w:shd w:val="clear" w:color="auto" w:fill="D9D9D9"/>
            <w:tcMar>
              <w:top w:w="60" w:type="dxa"/>
              <w:left w:w="80" w:type="dxa"/>
              <w:bottom w:w="60" w:type="dxa"/>
              <w:right w:w="80" w:type="dxa"/>
            </w:tcMar>
          </w:tcPr>
          <w:p w14:paraId="3E779FF5" w14:textId="77777777" w:rsidR="003F1FB9" w:rsidRPr="00B87F1C" w:rsidRDefault="005E0532" w:rsidP="00B87F1C">
            <w:pPr>
              <w:jc w:val="center"/>
            </w:pPr>
            <w:r w:rsidRPr="00B87F1C">
              <w:rPr>
                <w:b/>
                <w:bCs/>
              </w:rPr>
              <w:t>Variable</w:t>
            </w:r>
          </w:p>
        </w:tc>
        <w:tc>
          <w:tcPr>
            <w:tcW w:w="1294" w:type="dxa"/>
            <w:shd w:val="clear" w:color="auto" w:fill="D9D9D9"/>
            <w:tcMar>
              <w:top w:w="60" w:type="dxa"/>
              <w:left w:w="80" w:type="dxa"/>
              <w:bottom w:w="60" w:type="dxa"/>
              <w:right w:w="80" w:type="dxa"/>
            </w:tcMar>
          </w:tcPr>
          <w:p w14:paraId="0E405C2A" w14:textId="77777777" w:rsidR="003F1FB9" w:rsidRPr="00B87F1C" w:rsidRDefault="005E0532" w:rsidP="00B87F1C">
            <w:pPr>
              <w:jc w:val="center"/>
            </w:pPr>
            <w:r w:rsidRPr="00B87F1C">
              <w:rPr>
                <w:b/>
                <w:bCs/>
              </w:rPr>
              <w:t>Media (S/)</w:t>
            </w:r>
          </w:p>
        </w:tc>
        <w:tc>
          <w:tcPr>
            <w:tcW w:w="1437" w:type="dxa"/>
            <w:shd w:val="clear" w:color="auto" w:fill="D9D9D9"/>
            <w:tcMar>
              <w:top w:w="60" w:type="dxa"/>
              <w:left w:w="80" w:type="dxa"/>
              <w:bottom w:w="60" w:type="dxa"/>
              <w:right w:w="80" w:type="dxa"/>
            </w:tcMar>
          </w:tcPr>
          <w:p w14:paraId="561C68C9" w14:textId="77777777" w:rsidR="003F1FB9" w:rsidRPr="00B87F1C" w:rsidRDefault="005E0532" w:rsidP="00B87F1C">
            <w:pPr>
              <w:jc w:val="center"/>
            </w:pPr>
            <w:r w:rsidRPr="00B87F1C">
              <w:rPr>
                <w:b/>
                <w:bCs/>
              </w:rPr>
              <w:t>Mediana (S/)</w:t>
            </w:r>
          </w:p>
        </w:tc>
        <w:tc>
          <w:tcPr>
            <w:tcW w:w="1560" w:type="dxa"/>
            <w:shd w:val="clear" w:color="auto" w:fill="D9D9D9"/>
            <w:tcMar>
              <w:top w:w="60" w:type="dxa"/>
              <w:left w:w="80" w:type="dxa"/>
              <w:bottom w:w="60" w:type="dxa"/>
              <w:right w:w="80" w:type="dxa"/>
            </w:tcMar>
          </w:tcPr>
          <w:p w14:paraId="1AECC355" w14:textId="77777777" w:rsidR="003F1FB9" w:rsidRPr="00B87F1C" w:rsidRDefault="005E0532" w:rsidP="00B87F1C">
            <w:pPr>
              <w:jc w:val="center"/>
            </w:pPr>
            <w:proofErr w:type="spellStart"/>
            <w:r w:rsidRPr="00B87F1C">
              <w:rPr>
                <w:b/>
                <w:bCs/>
              </w:rPr>
              <w:t>Desv</w:t>
            </w:r>
            <w:proofErr w:type="spellEnd"/>
            <w:r w:rsidRPr="00B87F1C">
              <w:rPr>
                <w:b/>
                <w:bCs/>
              </w:rPr>
              <w:t>. estándar</w:t>
            </w:r>
          </w:p>
        </w:tc>
        <w:tc>
          <w:tcPr>
            <w:tcW w:w="1559" w:type="dxa"/>
            <w:shd w:val="clear" w:color="auto" w:fill="D9D9D9"/>
            <w:tcMar>
              <w:top w:w="60" w:type="dxa"/>
              <w:left w:w="80" w:type="dxa"/>
              <w:bottom w:w="60" w:type="dxa"/>
              <w:right w:w="80" w:type="dxa"/>
            </w:tcMar>
          </w:tcPr>
          <w:p w14:paraId="080E6554" w14:textId="77777777" w:rsidR="003F1FB9" w:rsidRPr="00B87F1C" w:rsidRDefault="005E0532" w:rsidP="00B87F1C">
            <w:pPr>
              <w:jc w:val="center"/>
            </w:pPr>
            <w:r w:rsidRPr="00B87F1C">
              <w:rPr>
                <w:b/>
                <w:bCs/>
              </w:rPr>
              <w:t>Mínimo</w:t>
            </w:r>
          </w:p>
        </w:tc>
        <w:tc>
          <w:tcPr>
            <w:tcW w:w="812" w:type="dxa"/>
            <w:shd w:val="clear" w:color="auto" w:fill="D9D9D9"/>
            <w:tcMar>
              <w:top w:w="60" w:type="dxa"/>
              <w:left w:w="80" w:type="dxa"/>
              <w:bottom w:w="60" w:type="dxa"/>
              <w:right w:w="80" w:type="dxa"/>
            </w:tcMar>
          </w:tcPr>
          <w:p w14:paraId="2B520C00" w14:textId="77777777" w:rsidR="003F1FB9" w:rsidRPr="00B87F1C" w:rsidRDefault="005E0532" w:rsidP="00B87F1C">
            <w:pPr>
              <w:jc w:val="center"/>
            </w:pPr>
            <w:r w:rsidRPr="00B87F1C">
              <w:rPr>
                <w:b/>
                <w:bCs/>
              </w:rPr>
              <w:t>Máximo</w:t>
            </w:r>
          </w:p>
        </w:tc>
      </w:tr>
      <w:tr w:rsidR="003F1FB9" w:rsidRPr="00B87F1C" w14:paraId="7DAC127E" w14:textId="77777777" w:rsidTr="00B87F1C">
        <w:tc>
          <w:tcPr>
            <w:tcW w:w="1980" w:type="dxa"/>
            <w:tcMar>
              <w:top w:w="60" w:type="dxa"/>
              <w:left w:w="80" w:type="dxa"/>
              <w:bottom w:w="60" w:type="dxa"/>
              <w:right w:w="80" w:type="dxa"/>
            </w:tcMar>
          </w:tcPr>
          <w:p w14:paraId="6172097B" w14:textId="77777777" w:rsidR="003F1FB9" w:rsidRPr="00B87F1C" w:rsidRDefault="005E0532" w:rsidP="00B87F1C">
            <w:pPr>
              <w:jc w:val="center"/>
            </w:pPr>
            <w:r w:rsidRPr="00B87F1C">
              <w:t>Flujo operativo (Y1)</w:t>
            </w:r>
          </w:p>
        </w:tc>
        <w:tc>
          <w:tcPr>
            <w:tcW w:w="1294" w:type="dxa"/>
            <w:tcMar>
              <w:top w:w="60" w:type="dxa"/>
              <w:left w:w="80" w:type="dxa"/>
              <w:bottom w:w="60" w:type="dxa"/>
              <w:right w:w="80" w:type="dxa"/>
            </w:tcMar>
          </w:tcPr>
          <w:p w14:paraId="6EE2B096" w14:textId="77777777" w:rsidR="003F1FB9" w:rsidRPr="00B87F1C" w:rsidRDefault="005E0532" w:rsidP="00B87F1C">
            <w:pPr>
              <w:jc w:val="center"/>
            </w:pPr>
            <w:r w:rsidRPr="00B87F1C">
              <w:t>368,744.35</w:t>
            </w:r>
          </w:p>
        </w:tc>
        <w:tc>
          <w:tcPr>
            <w:tcW w:w="1437" w:type="dxa"/>
            <w:tcMar>
              <w:top w:w="60" w:type="dxa"/>
              <w:left w:w="80" w:type="dxa"/>
              <w:bottom w:w="60" w:type="dxa"/>
              <w:right w:w="80" w:type="dxa"/>
            </w:tcMar>
          </w:tcPr>
          <w:p w14:paraId="099D62D5" w14:textId="77777777" w:rsidR="003F1FB9" w:rsidRPr="00B87F1C" w:rsidRDefault="005E0532" w:rsidP="00B87F1C">
            <w:pPr>
              <w:jc w:val="center"/>
            </w:pPr>
            <w:r w:rsidRPr="00B87F1C">
              <w:t>345,404.37</w:t>
            </w:r>
          </w:p>
        </w:tc>
        <w:tc>
          <w:tcPr>
            <w:tcW w:w="1560" w:type="dxa"/>
            <w:tcMar>
              <w:top w:w="60" w:type="dxa"/>
              <w:left w:w="80" w:type="dxa"/>
              <w:bottom w:w="60" w:type="dxa"/>
              <w:right w:w="80" w:type="dxa"/>
            </w:tcMar>
          </w:tcPr>
          <w:p w14:paraId="75E52E10" w14:textId="77777777" w:rsidR="003F1FB9" w:rsidRPr="00B87F1C" w:rsidRDefault="005E0532" w:rsidP="00B87F1C">
            <w:pPr>
              <w:jc w:val="center"/>
            </w:pPr>
            <w:r w:rsidRPr="00B87F1C">
              <w:t>683,150.00</w:t>
            </w:r>
          </w:p>
        </w:tc>
        <w:tc>
          <w:tcPr>
            <w:tcW w:w="1559" w:type="dxa"/>
            <w:tcMar>
              <w:top w:w="60" w:type="dxa"/>
              <w:left w:w="80" w:type="dxa"/>
              <w:bottom w:w="60" w:type="dxa"/>
              <w:right w:w="80" w:type="dxa"/>
            </w:tcMar>
          </w:tcPr>
          <w:p w14:paraId="74250DDA" w14:textId="77777777" w:rsidR="003F1FB9" w:rsidRPr="00B87F1C" w:rsidRDefault="005E0532" w:rsidP="00B87F1C">
            <w:pPr>
              <w:jc w:val="center"/>
            </w:pPr>
            <w:r w:rsidRPr="00B87F1C">
              <w:t>–1,593,113.90</w:t>
            </w:r>
          </w:p>
        </w:tc>
        <w:tc>
          <w:tcPr>
            <w:tcW w:w="812" w:type="dxa"/>
            <w:tcMar>
              <w:top w:w="60" w:type="dxa"/>
              <w:left w:w="80" w:type="dxa"/>
              <w:bottom w:w="60" w:type="dxa"/>
              <w:right w:w="80" w:type="dxa"/>
            </w:tcMar>
          </w:tcPr>
          <w:p w14:paraId="4C914FB8" w14:textId="77777777" w:rsidR="003F1FB9" w:rsidRPr="00B87F1C" w:rsidRDefault="005E0532" w:rsidP="00B87F1C">
            <w:pPr>
              <w:jc w:val="center"/>
            </w:pPr>
            <w:r w:rsidRPr="00B87F1C">
              <w:t>3,512,269.64</w:t>
            </w:r>
          </w:p>
        </w:tc>
      </w:tr>
      <w:tr w:rsidR="003F1FB9" w:rsidRPr="00B87F1C" w14:paraId="1B5B6B1C" w14:textId="77777777" w:rsidTr="00B87F1C">
        <w:tc>
          <w:tcPr>
            <w:tcW w:w="1980" w:type="dxa"/>
            <w:tcMar>
              <w:top w:w="60" w:type="dxa"/>
              <w:left w:w="80" w:type="dxa"/>
              <w:bottom w:w="60" w:type="dxa"/>
              <w:right w:w="80" w:type="dxa"/>
            </w:tcMar>
          </w:tcPr>
          <w:p w14:paraId="4D4E6502" w14:textId="77777777" w:rsidR="003F1FB9" w:rsidRPr="00B87F1C" w:rsidRDefault="005E0532" w:rsidP="00B87F1C">
            <w:pPr>
              <w:jc w:val="center"/>
            </w:pPr>
            <w:r w:rsidRPr="00B87F1C">
              <w:t>Flujo de inversión (Y2)</w:t>
            </w:r>
          </w:p>
        </w:tc>
        <w:tc>
          <w:tcPr>
            <w:tcW w:w="1294" w:type="dxa"/>
            <w:tcMar>
              <w:top w:w="60" w:type="dxa"/>
              <w:left w:w="80" w:type="dxa"/>
              <w:bottom w:w="60" w:type="dxa"/>
              <w:right w:w="80" w:type="dxa"/>
            </w:tcMar>
          </w:tcPr>
          <w:p w14:paraId="5385D3AB" w14:textId="77777777" w:rsidR="003F1FB9" w:rsidRPr="00B87F1C" w:rsidRDefault="005E0532" w:rsidP="00B87F1C">
            <w:pPr>
              <w:jc w:val="center"/>
            </w:pPr>
            <w:r w:rsidRPr="00B87F1C">
              <w:t>–338,217.41</w:t>
            </w:r>
          </w:p>
        </w:tc>
        <w:tc>
          <w:tcPr>
            <w:tcW w:w="1437" w:type="dxa"/>
            <w:tcMar>
              <w:top w:w="60" w:type="dxa"/>
              <w:left w:w="80" w:type="dxa"/>
              <w:bottom w:w="60" w:type="dxa"/>
              <w:right w:w="80" w:type="dxa"/>
            </w:tcMar>
          </w:tcPr>
          <w:p w14:paraId="50162E12" w14:textId="77777777" w:rsidR="003F1FB9" w:rsidRPr="00B87F1C" w:rsidRDefault="005E0532" w:rsidP="00B87F1C">
            <w:pPr>
              <w:jc w:val="center"/>
            </w:pPr>
            <w:r w:rsidRPr="00B87F1C">
              <w:t>–22,524.09</w:t>
            </w:r>
          </w:p>
        </w:tc>
        <w:tc>
          <w:tcPr>
            <w:tcW w:w="1560" w:type="dxa"/>
            <w:tcMar>
              <w:top w:w="60" w:type="dxa"/>
              <w:left w:w="80" w:type="dxa"/>
              <w:bottom w:w="60" w:type="dxa"/>
              <w:right w:w="80" w:type="dxa"/>
            </w:tcMar>
          </w:tcPr>
          <w:p w14:paraId="7DF25867" w14:textId="77777777" w:rsidR="003F1FB9" w:rsidRPr="00B87F1C" w:rsidRDefault="005E0532" w:rsidP="00B87F1C">
            <w:pPr>
              <w:jc w:val="center"/>
            </w:pPr>
            <w:r w:rsidRPr="00B87F1C">
              <w:t>776,484.46</w:t>
            </w:r>
          </w:p>
        </w:tc>
        <w:tc>
          <w:tcPr>
            <w:tcW w:w="1559" w:type="dxa"/>
            <w:tcMar>
              <w:top w:w="60" w:type="dxa"/>
              <w:left w:w="80" w:type="dxa"/>
              <w:bottom w:w="60" w:type="dxa"/>
              <w:right w:w="80" w:type="dxa"/>
            </w:tcMar>
          </w:tcPr>
          <w:p w14:paraId="55366EE3" w14:textId="77777777" w:rsidR="003F1FB9" w:rsidRPr="00B87F1C" w:rsidRDefault="005E0532" w:rsidP="00B87F1C">
            <w:pPr>
              <w:jc w:val="center"/>
            </w:pPr>
            <w:r w:rsidRPr="00B87F1C">
              <w:t>–3,800,956.17</w:t>
            </w:r>
          </w:p>
        </w:tc>
        <w:tc>
          <w:tcPr>
            <w:tcW w:w="812" w:type="dxa"/>
            <w:tcMar>
              <w:top w:w="60" w:type="dxa"/>
              <w:left w:w="80" w:type="dxa"/>
              <w:bottom w:w="60" w:type="dxa"/>
              <w:right w:w="80" w:type="dxa"/>
            </w:tcMar>
          </w:tcPr>
          <w:p w14:paraId="2448E3E4" w14:textId="77777777" w:rsidR="003F1FB9" w:rsidRPr="00B87F1C" w:rsidRDefault="005E0532" w:rsidP="00B87F1C">
            <w:pPr>
              <w:jc w:val="center"/>
            </w:pPr>
            <w:r w:rsidRPr="00B87F1C">
              <w:t>213,116.44</w:t>
            </w:r>
          </w:p>
        </w:tc>
      </w:tr>
      <w:tr w:rsidR="003F1FB9" w:rsidRPr="00B87F1C" w14:paraId="1C1FA336" w14:textId="77777777" w:rsidTr="00B87F1C">
        <w:tc>
          <w:tcPr>
            <w:tcW w:w="1980" w:type="dxa"/>
            <w:tcMar>
              <w:top w:w="60" w:type="dxa"/>
              <w:left w:w="80" w:type="dxa"/>
              <w:bottom w:w="60" w:type="dxa"/>
              <w:right w:w="80" w:type="dxa"/>
            </w:tcMar>
          </w:tcPr>
          <w:p w14:paraId="1D28DD60" w14:textId="77777777" w:rsidR="003F1FB9" w:rsidRPr="00B87F1C" w:rsidRDefault="005E0532" w:rsidP="00B87F1C">
            <w:pPr>
              <w:jc w:val="center"/>
            </w:pPr>
            <w:r w:rsidRPr="00B87F1C">
              <w:t>Flujo de financiamiento (Y3)</w:t>
            </w:r>
          </w:p>
        </w:tc>
        <w:tc>
          <w:tcPr>
            <w:tcW w:w="1294" w:type="dxa"/>
            <w:tcMar>
              <w:top w:w="60" w:type="dxa"/>
              <w:left w:w="80" w:type="dxa"/>
              <w:bottom w:w="60" w:type="dxa"/>
              <w:right w:w="80" w:type="dxa"/>
            </w:tcMar>
          </w:tcPr>
          <w:p w14:paraId="43C17B4D" w14:textId="77777777" w:rsidR="003F1FB9" w:rsidRPr="00B87F1C" w:rsidRDefault="005E0532" w:rsidP="00B87F1C">
            <w:pPr>
              <w:jc w:val="center"/>
            </w:pPr>
            <w:r w:rsidRPr="00B87F1C">
              <w:t>–32,872.77</w:t>
            </w:r>
          </w:p>
        </w:tc>
        <w:tc>
          <w:tcPr>
            <w:tcW w:w="1437" w:type="dxa"/>
            <w:tcMar>
              <w:top w:w="60" w:type="dxa"/>
              <w:left w:w="80" w:type="dxa"/>
              <w:bottom w:w="60" w:type="dxa"/>
              <w:right w:w="80" w:type="dxa"/>
            </w:tcMar>
          </w:tcPr>
          <w:p w14:paraId="70A40120" w14:textId="77777777" w:rsidR="003F1FB9" w:rsidRPr="00B87F1C" w:rsidRDefault="005E0532" w:rsidP="00B87F1C">
            <w:pPr>
              <w:jc w:val="center"/>
            </w:pPr>
            <w:r w:rsidRPr="00B87F1C">
              <w:t>–310,986.53</w:t>
            </w:r>
          </w:p>
        </w:tc>
        <w:tc>
          <w:tcPr>
            <w:tcW w:w="1560" w:type="dxa"/>
            <w:tcMar>
              <w:top w:w="60" w:type="dxa"/>
              <w:left w:w="80" w:type="dxa"/>
              <w:bottom w:w="60" w:type="dxa"/>
              <w:right w:w="80" w:type="dxa"/>
            </w:tcMar>
          </w:tcPr>
          <w:p w14:paraId="5ECC25C1" w14:textId="77777777" w:rsidR="003F1FB9" w:rsidRPr="00B87F1C" w:rsidRDefault="005E0532" w:rsidP="00B87F1C">
            <w:pPr>
              <w:jc w:val="center"/>
            </w:pPr>
            <w:r w:rsidRPr="00B87F1C">
              <w:t>1,087,858.30</w:t>
            </w:r>
          </w:p>
        </w:tc>
        <w:tc>
          <w:tcPr>
            <w:tcW w:w="1559" w:type="dxa"/>
            <w:tcMar>
              <w:top w:w="60" w:type="dxa"/>
              <w:left w:w="80" w:type="dxa"/>
              <w:bottom w:w="60" w:type="dxa"/>
              <w:right w:w="80" w:type="dxa"/>
            </w:tcMar>
          </w:tcPr>
          <w:p w14:paraId="58D14423" w14:textId="77777777" w:rsidR="003F1FB9" w:rsidRPr="00B87F1C" w:rsidRDefault="005E0532" w:rsidP="00B87F1C">
            <w:pPr>
              <w:jc w:val="center"/>
            </w:pPr>
            <w:r w:rsidRPr="00B87F1C">
              <w:t>–3,450,637.95</w:t>
            </w:r>
          </w:p>
        </w:tc>
        <w:tc>
          <w:tcPr>
            <w:tcW w:w="812" w:type="dxa"/>
            <w:tcMar>
              <w:top w:w="60" w:type="dxa"/>
              <w:left w:w="80" w:type="dxa"/>
              <w:bottom w:w="60" w:type="dxa"/>
              <w:right w:w="80" w:type="dxa"/>
            </w:tcMar>
          </w:tcPr>
          <w:p w14:paraId="6F2FE98C" w14:textId="77777777" w:rsidR="003F1FB9" w:rsidRPr="00B87F1C" w:rsidRDefault="005E0532" w:rsidP="00B87F1C">
            <w:pPr>
              <w:jc w:val="center"/>
            </w:pPr>
            <w:r w:rsidRPr="00B87F1C">
              <w:t>3,661,008.67</w:t>
            </w:r>
          </w:p>
        </w:tc>
      </w:tr>
      <w:tr w:rsidR="003F1FB9" w:rsidRPr="00B87F1C" w14:paraId="4E973D83" w14:textId="77777777" w:rsidTr="00B87F1C">
        <w:tc>
          <w:tcPr>
            <w:tcW w:w="1980" w:type="dxa"/>
            <w:tcMar>
              <w:top w:w="60" w:type="dxa"/>
              <w:left w:w="80" w:type="dxa"/>
              <w:bottom w:w="60" w:type="dxa"/>
              <w:right w:w="80" w:type="dxa"/>
            </w:tcMar>
          </w:tcPr>
          <w:p w14:paraId="04C51222" w14:textId="77777777" w:rsidR="003F1FB9" w:rsidRPr="00B87F1C" w:rsidRDefault="005E0532" w:rsidP="00B87F1C">
            <w:pPr>
              <w:jc w:val="center"/>
            </w:pPr>
            <w:r w:rsidRPr="00B87F1C">
              <w:t>Flujo efectivo neto (Y4)</w:t>
            </w:r>
          </w:p>
        </w:tc>
        <w:tc>
          <w:tcPr>
            <w:tcW w:w="1294" w:type="dxa"/>
            <w:tcMar>
              <w:top w:w="60" w:type="dxa"/>
              <w:left w:w="80" w:type="dxa"/>
              <w:bottom w:w="60" w:type="dxa"/>
              <w:right w:w="80" w:type="dxa"/>
            </w:tcMar>
          </w:tcPr>
          <w:p w14:paraId="175548B8" w14:textId="77777777" w:rsidR="003F1FB9" w:rsidRPr="00B87F1C" w:rsidRDefault="005E0532" w:rsidP="00B87F1C">
            <w:pPr>
              <w:jc w:val="center"/>
            </w:pPr>
            <w:r w:rsidRPr="00B87F1C">
              <w:t>–2,345.83</w:t>
            </w:r>
          </w:p>
        </w:tc>
        <w:tc>
          <w:tcPr>
            <w:tcW w:w="1437" w:type="dxa"/>
            <w:tcMar>
              <w:top w:w="60" w:type="dxa"/>
              <w:left w:w="80" w:type="dxa"/>
              <w:bottom w:w="60" w:type="dxa"/>
              <w:right w:w="80" w:type="dxa"/>
            </w:tcMar>
          </w:tcPr>
          <w:p w14:paraId="3DD36E52" w14:textId="77777777" w:rsidR="003F1FB9" w:rsidRPr="00B87F1C" w:rsidRDefault="005E0532" w:rsidP="00B87F1C">
            <w:pPr>
              <w:jc w:val="center"/>
            </w:pPr>
            <w:r w:rsidRPr="00B87F1C">
              <w:t>27,582.95</w:t>
            </w:r>
          </w:p>
        </w:tc>
        <w:tc>
          <w:tcPr>
            <w:tcW w:w="1560" w:type="dxa"/>
            <w:tcMar>
              <w:top w:w="60" w:type="dxa"/>
              <w:left w:w="80" w:type="dxa"/>
              <w:bottom w:w="60" w:type="dxa"/>
              <w:right w:w="80" w:type="dxa"/>
            </w:tcMar>
          </w:tcPr>
          <w:p w14:paraId="733C1175" w14:textId="77777777" w:rsidR="003F1FB9" w:rsidRPr="00B87F1C" w:rsidRDefault="005E0532" w:rsidP="00B87F1C">
            <w:pPr>
              <w:jc w:val="center"/>
            </w:pPr>
            <w:r w:rsidRPr="00B87F1C">
              <w:t>163,117.28</w:t>
            </w:r>
          </w:p>
        </w:tc>
        <w:tc>
          <w:tcPr>
            <w:tcW w:w="1559" w:type="dxa"/>
            <w:tcMar>
              <w:top w:w="60" w:type="dxa"/>
              <w:left w:w="80" w:type="dxa"/>
              <w:bottom w:w="60" w:type="dxa"/>
              <w:right w:w="80" w:type="dxa"/>
            </w:tcMar>
          </w:tcPr>
          <w:p w14:paraId="6276B541" w14:textId="77777777" w:rsidR="003F1FB9" w:rsidRPr="00B87F1C" w:rsidRDefault="005E0532" w:rsidP="00B87F1C">
            <w:pPr>
              <w:jc w:val="center"/>
            </w:pPr>
            <w:r w:rsidRPr="00B87F1C">
              <w:t>–749,610.73</w:t>
            </w:r>
          </w:p>
        </w:tc>
        <w:tc>
          <w:tcPr>
            <w:tcW w:w="812" w:type="dxa"/>
            <w:tcMar>
              <w:top w:w="60" w:type="dxa"/>
              <w:left w:w="80" w:type="dxa"/>
              <w:bottom w:w="60" w:type="dxa"/>
              <w:right w:w="80" w:type="dxa"/>
            </w:tcMar>
          </w:tcPr>
          <w:p w14:paraId="7F147346" w14:textId="77777777" w:rsidR="003F1FB9" w:rsidRPr="00B87F1C" w:rsidRDefault="005E0532" w:rsidP="00B87F1C">
            <w:pPr>
              <w:jc w:val="center"/>
            </w:pPr>
            <w:r w:rsidRPr="00B87F1C">
              <w:t>300,342.36</w:t>
            </w:r>
          </w:p>
        </w:tc>
      </w:tr>
      <w:tr w:rsidR="003F1FB9" w:rsidRPr="00B87F1C" w14:paraId="62B5A100" w14:textId="77777777" w:rsidTr="00B87F1C">
        <w:tc>
          <w:tcPr>
            <w:tcW w:w="1980" w:type="dxa"/>
            <w:tcMar>
              <w:top w:w="60" w:type="dxa"/>
              <w:left w:w="80" w:type="dxa"/>
              <w:bottom w:w="60" w:type="dxa"/>
              <w:right w:w="80" w:type="dxa"/>
            </w:tcMar>
          </w:tcPr>
          <w:p w14:paraId="1B1FB8D0" w14:textId="77777777" w:rsidR="003F1FB9" w:rsidRPr="00B87F1C" w:rsidRDefault="005E0532" w:rsidP="00B87F1C">
            <w:pPr>
              <w:jc w:val="center"/>
            </w:pPr>
            <w:r w:rsidRPr="00B87F1C">
              <w:t>Financiamiento externo (X1)</w:t>
            </w:r>
          </w:p>
        </w:tc>
        <w:tc>
          <w:tcPr>
            <w:tcW w:w="1294" w:type="dxa"/>
            <w:tcMar>
              <w:top w:w="60" w:type="dxa"/>
              <w:left w:w="80" w:type="dxa"/>
              <w:bottom w:w="60" w:type="dxa"/>
              <w:right w:w="80" w:type="dxa"/>
            </w:tcMar>
          </w:tcPr>
          <w:p w14:paraId="2B01BE75" w14:textId="77777777" w:rsidR="003F1FB9" w:rsidRPr="00B87F1C" w:rsidRDefault="005E0532" w:rsidP="00B87F1C">
            <w:pPr>
              <w:jc w:val="center"/>
            </w:pPr>
            <w:r w:rsidRPr="00B87F1C">
              <w:t>311,544.11</w:t>
            </w:r>
          </w:p>
        </w:tc>
        <w:tc>
          <w:tcPr>
            <w:tcW w:w="1437" w:type="dxa"/>
            <w:tcMar>
              <w:top w:w="60" w:type="dxa"/>
              <w:left w:w="80" w:type="dxa"/>
              <w:bottom w:w="60" w:type="dxa"/>
              <w:right w:w="80" w:type="dxa"/>
            </w:tcMar>
          </w:tcPr>
          <w:p w14:paraId="7CF45F7F" w14:textId="77777777" w:rsidR="003F1FB9" w:rsidRPr="00B87F1C" w:rsidRDefault="005E0532" w:rsidP="00B87F1C">
            <w:pPr>
              <w:jc w:val="center"/>
            </w:pPr>
            <w:r w:rsidRPr="00B87F1C">
              <w:t>0.00</w:t>
            </w:r>
          </w:p>
        </w:tc>
        <w:tc>
          <w:tcPr>
            <w:tcW w:w="1560" w:type="dxa"/>
            <w:tcMar>
              <w:top w:w="60" w:type="dxa"/>
              <w:left w:w="80" w:type="dxa"/>
              <w:bottom w:w="60" w:type="dxa"/>
              <w:right w:w="80" w:type="dxa"/>
            </w:tcMar>
          </w:tcPr>
          <w:p w14:paraId="460098E7" w14:textId="77777777" w:rsidR="003F1FB9" w:rsidRPr="00B87F1C" w:rsidRDefault="005E0532" w:rsidP="00B87F1C">
            <w:pPr>
              <w:jc w:val="center"/>
            </w:pPr>
            <w:r w:rsidRPr="00B87F1C">
              <w:t>805,880.16</w:t>
            </w:r>
          </w:p>
        </w:tc>
        <w:tc>
          <w:tcPr>
            <w:tcW w:w="1559" w:type="dxa"/>
            <w:tcMar>
              <w:top w:w="60" w:type="dxa"/>
              <w:left w:w="80" w:type="dxa"/>
              <w:bottom w:w="60" w:type="dxa"/>
              <w:right w:w="80" w:type="dxa"/>
            </w:tcMar>
          </w:tcPr>
          <w:p w14:paraId="1FF6A2DF" w14:textId="77777777" w:rsidR="003F1FB9" w:rsidRPr="00B87F1C" w:rsidRDefault="005E0532" w:rsidP="00B87F1C">
            <w:pPr>
              <w:jc w:val="center"/>
            </w:pPr>
            <w:r w:rsidRPr="00B87F1C">
              <w:t>0.00</w:t>
            </w:r>
          </w:p>
        </w:tc>
        <w:tc>
          <w:tcPr>
            <w:tcW w:w="812" w:type="dxa"/>
            <w:tcMar>
              <w:top w:w="60" w:type="dxa"/>
              <w:left w:w="80" w:type="dxa"/>
              <w:bottom w:w="60" w:type="dxa"/>
              <w:right w:w="80" w:type="dxa"/>
            </w:tcMar>
          </w:tcPr>
          <w:p w14:paraId="53D30D64" w14:textId="77777777" w:rsidR="003F1FB9" w:rsidRPr="00B87F1C" w:rsidRDefault="005E0532" w:rsidP="00B87F1C">
            <w:pPr>
              <w:jc w:val="center"/>
            </w:pPr>
            <w:r w:rsidRPr="00B87F1C">
              <w:t>3,730,725.74</w:t>
            </w:r>
          </w:p>
        </w:tc>
      </w:tr>
      <w:tr w:rsidR="003F1FB9" w:rsidRPr="00B87F1C" w14:paraId="41B9ABDF" w14:textId="77777777" w:rsidTr="00B87F1C">
        <w:tc>
          <w:tcPr>
            <w:tcW w:w="1980" w:type="dxa"/>
            <w:tcMar>
              <w:top w:w="60" w:type="dxa"/>
              <w:left w:w="80" w:type="dxa"/>
              <w:bottom w:w="60" w:type="dxa"/>
              <w:right w:w="80" w:type="dxa"/>
            </w:tcMar>
          </w:tcPr>
          <w:p w14:paraId="6CEE5783" w14:textId="77777777" w:rsidR="003F1FB9" w:rsidRPr="00B87F1C" w:rsidRDefault="005E0532" w:rsidP="00B87F1C">
            <w:pPr>
              <w:jc w:val="center"/>
            </w:pPr>
            <w:r w:rsidRPr="00B87F1C">
              <w:t>Costo financiero (X2)</w:t>
            </w:r>
          </w:p>
        </w:tc>
        <w:tc>
          <w:tcPr>
            <w:tcW w:w="1294" w:type="dxa"/>
            <w:tcMar>
              <w:top w:w="60" w:type="dxa"/>
              <w:left w:w="80" w:type="dxa"/>
              <w:bottom w:w="60" w:type="dxa"/>
              <w:right w:w="80" w:type="dxa"/>
            </w:tcMar>
          </w:tcPr>
          <w:p w14:paraId="0EA0269E" w14:textId="77777777" w:rsidR="003F1FB9" w:rsidRPr="00B87F1C" w:rsidRDefault="005E0532" w:rsidP="00B87F1C">
            <w:pPr>
              <w:jc w:val="center"/>
            </w:pPr>
            <w:r w:rsidRPr="00B87F1C">
              <w:t>74,131.71</w:t>
            </w:r>
          </w:p>
        </w:tc>
        <w:tc>
          <w:tcPr>
            <w:tcW w:w="1437" w:type="dxa"/>
            <w:tcMar>
              <w:top w:w="60" w:type="dxa"/>
              <w:left w:w="80" w:type="dxa"/>
              <w:bottom w:w="60" w:type="dxa"/>
              <w:right w:w="80" w:type="dxa"/>
            </w:tcMar>
          </w:tcPr>
          <w:p w14:paraId="30F62FC6" w14:textId="77777777" w:rsidR="003F1FB9" w:rsidRPr="00B87F1C" w:rsidRDefault="005E0532" w:rsidP="00B87F1C">
            <w:pPr>
              <w:jc w:val="center"/>
            </w:pPr>
            <w:r w:rsidRPr="00B87F1C">
              <w:t>68,700.33</w:t>
            </w:r>
          </w:p>
        </w:tc>
        <w:tc>
          <w:tcPr>
            <w:tcW w:w="1560" w:type="dxa"/>
            <w:tcMar>
              <w:top w:w="60" w:type="dxa"/>
              <w:left w:w="80" w:type="dxa"/>
              <w:bottom w:w="60" w:type="dxa"/>
              <w:right w:w="80" w:type="dxa"/>
            </w:tcMar>
          </w:tcPr>
          <w:p w14:paraId="6F93977E" w14:textId="77777777" w:rsidR="003F1FB9" w:rsidRPr="00B87F1C" w:rsidRDefault="005E0532" w:rsidP="00B87F1C">
            <w:pPr>
              <w:jc w:val="center"/>
            </w:pPr>
            <w:r w:rsidRPr="00B87F1C">
              <w:t>28,791.31</w:t>
            </w:r>
          </w:p>
        </w:tc>
        <w:tc>
          <w:tcPr>
            <w:tcW w:w="1559" w:type="dxa"/>
            <w:tcMar>
              <w:top w:w="60" w:type="dxa"/>
              <w:left w:w="80" w:type="dxa"/>
              <w:bottom w:w="60" w:type="dxa"/>
              <w:right w:w="80" w:type="dxa"/>
            </w:tcMar>
          </w:tcPr>
          <w:p w14:paraId="0C27B171" w14:textId="77777777" w:rsidR="003F1FB9" w:rsidRPr="00B87F1C" w:rsidRDefault="005E0532" w:rsidP="00B87F1C">
            <w:pPr>
              <w:jc w:val="center"/>
            </w:pPr>
            <w:r w:rsidRPr="00B87F1C">
              <w:t>6,378.69</w:t>
            </w:r>
          </w:p>
        </w:tc>
        <w:tc>
          <w:tcPr>
            <w:tcW w:w="812" w:type="dxa"/>
            <w:tcMar>
              <w:top w:w="60" w:type="dxa"/>
              <w:left w:w="80" w:type="dxa"/>
              <w:bottom w:w="60" w:type="dxa"/>
              <w:right w:w="80" w:type="dxa"/>
            </w:tcMar>
          </w:tcPr>
          <w:p w14:paraId="69CEE87B" w14:textId="77777777" w:rsidR="003F1FB9" w:rsidRPr="00B87F1C" w:rsidRDefault="005E0532" w:rsidP="00B87F1C">
            <w:pPr>
              <w:jc w:val="center"/>
            </w:pPr>
            <w:r w:rsidRPr="00B87F1C">
              <w:t>168,757.56</w:t>
            </w:r>
          </w:p>
        </w:tc>
      </w:tr>
    </w:tbl>
    <w:p w14:paraId="0B036727" w14:textId="77777777" w:rsidR="003F1FB9" w:rsidRPr="00B87F1C" w:rsidRDefault="005E0532" w:rsidP="00B87F1C">
      <w:pPr>
        <w:spacing w:line="360" w:lineRule="auto"/>
        <w:jc w:val="both"/>
        <w:rPr>
          <w:sz w:val="18"/>
          <w:szCs w:val="18"/>
        </w:rPr>
      </w:pPr>
      <w:r w:rsidRPr="00B87F1C">
        <w:rPr>
          <w:sz w:val="18"/>
          <w:szCs w:val="18"/>
        </w:rPr>
        <w:t xml:space="preserve">Nota. Datos obtenidos de los estados financieros mensuales de </w:t>
      </w:r>
      <w:proofErr w:type="spellStart"/>
      <w:r w:rsidRPr="00B87F1C">
        <w:rPr>
          <w:sz w:val="18"/>
          <w:szCs w:val="18"/>
        </w:rPr>
        <w:t>Tecport</w:t>
      </w:r>
      <w:proofErr w:type="spellEnd"/>
      <w:r w:rsidRPr="00B87F1C">
        <w:rPr>
          <w:sz w:val="18"/>
          <w:szCs w:val="18"/>
        </w:rPr>
        <w:t xml:space="preserve"> Perú S.A.C. (N = 60). Procesados en SPSS versión 29.</w:t>
      </w:r>
    </w:p>
    <w:p w14:paraId="1C98EE2E" w14:textId="36C0FA59" w:rsidR="003F1FB9" w:rsidRPr="00873AC2" w:rsidRDefault="005E0532" w:rsidP="00873AC2">
      <w:pPr>
        <w:spacing w:line="360" w:lineRule="auto"/>
        <w:ind w:firstLine="567"/>
        <w:jc w:val="both"/>
        <w:rPr>
          <w:sz w:val="22"/>
          <w:szCs w:val="22"/>
        </w:rPr>
      </w:pPr>
      <w:r w:rsidRPr="00873AC2">
        <w:rPr>
          <w:sz w:val="22"/>
          <w:szCs w:val="22"/>
        </w:rPr>
        <w:t xml:space="preserve">Los resultados descriptivos muestran que el flujo operativo, pese a mantener valores promedio positivos, presenta una desviación estándar muy elevada respecto a su media, lo que </w:t>
      </w:r>
      <w:r w:rsidRPr="00873AC2">
        <w:rPr>
          <w:sz w:val="22"/>
          <w:szCs w:val="22"/>
        </w:rPr>
        <w:lastRenderedPageBreak/>
        <w:t xml:space="preserve">indica ciclos mensuales de ingresos y egresos marcadamente irregulares, coherentes con una operación que depende de la conclusión de proyectos y del incremento puntual de horas de alquiler de maquinaria. El flujo de inversión, negativo en promedio, refleja una estrategia sostenida de adquisición de activos, mientras que el flujo de financiamiento combina meses de amortización de deuda con meses de obtención de crédito significativo, evidenciando un uso </w:t>
      </w:r>
      <w:proofErr w:type="gramStart"/>
      <w:r w:rsidRPr="00873AC2">
        <w:rPr>
          <w:sz w:val="22"/>
          <w:szCs w:val="22"/>
        </w:rPr>
        <w:t>intermitente</w:t>
      </w:r>
      <w:proofErr w:type="gramEnd"/>
      <w:r w:rsidRPr="00873AC2">
        <w:rPr>
          <w:sz w:val="22"/>
          <w:szCs w:val="22"/>
        </w:rPr>
        <w:t xml:space="preserve"> pero de alto impacto del financiamiento externo. El flujo efectivo neto, con una media cercana a cero, sugiere que los meses de excedente compensan a los de déficit, aunque su elevada dispersión confirma que el resultado final es sensible a la interacción simultánea de los demás flujos. Asimismo, la mediana igual a cero del financiamiento externo indica que la empresa no recurre a nuevo crédito todos los meses, pero cuando lo hace, los montos son considerables; en cambio, el costo financiero muestra una variabilidad moderada, lo que sugiere una carga de intereses relativamente previsible en comparación con el resto de variables.</w:t>
      </w:r>
    </w:p>
    <w:p w14:paraId="31F6183A" w14:textId="77777777" w:rsidR="003F1FB9" w:rsidRPr="00873AC2" w:rsidRDefault="005E0532" w:rsidP="00873AC2">
      <w:pPr>
        <w:spacing w:line="360" w:lineRule="auto"/>
        <w:ind w:firstLine="567"/>
        <w:jc w:val="both"/>
        <w:rPr>
          <w:sz w:val="22"/>
          <w:szCs w:val="22"/>
        </w:rPr>
      </w:pPr>
      <w:r w:rsidRPr="00873AC2">
        <w:rPr>
          <w:sz w:val="22"/>
          <w:szCs w:val="22"/>
        </w:rPr>
        <w:t>Los diagramas de caja elaborados para las seis variables (Figuras 1 a 6) confirman la presencia de valores atípicos en los flujos operativo, de inversión y de financiamiento, así como una fuerte asimetría en el financiamiento externo, congruente con su naturaleza esporádica. Esta dispersión respaldó el uso posterior de técnicas no paramétricas y multivariadas para el contraste de hipótesis.</w:t>
      </w:r>
    </w:p>
    <w:p w14:paraId="490C47C8" w14:textId="77777777" w:rsidR="003F1FB9" w:rsidRPr="00873AC2" w:rsidRDefault="005E0532" w:rsidP="00166393">
      <w:pPr>
        <w:spacing w:line="360" w:lineRule="auto"/>
        <w:rPr>
          <w:sz w:val="22"/>
          <w:szCs w:val="22"/>
        </w:rPr>
      </w:pPr>
      <w:r w:rsidRPr="00873AC2">
        <w:rPr>
          <w:b/>
          <w:bCs/>
          <w:sz w:val="22"/>
          <w:szCs w:val="22"/>
        </w:rPr>
        <w:t>Figura 1</w:t>
      </w:r>
    </w:p>
    <w:p w14:paraId="772A8DE8" w14:textId="77777777" w:rsidR="003F1FB9" w:rsidRPr="00873AC2" w:rsidRDefault="005E0532" w:rsidP="00166393">
      <w:pPr>
        <w:spacing w:line="360" w:lineRule="auto"/>
        <w:rPr>
          <w:sz w:val="22"/>
          <w:szCs w:val="22"/>
        </w:rPr>
      </w:pPr>
      <w:r w:rsidRPr="00873AC2">
        <w:rPr>
          <w:i/>
          <w:iCs/>
          <w:sz w:val="22"/>
          <w:szCs w:val="22"/>
        </w:rPr>
        <w:t>Diagrama de caja del flujo operativo (Y1)</w:t>
      </w:r>
    </w:p>
    <w:p w14:paraId="3692FDB6" w14:textId="77777777" w:rsidR="003F1FB9" w:rsidRPr="00B87F1C" w:rsidRDefault="005E0532" w:rsidP="00B87F1C">
      <w:pPr>
        <w:spacing w:line="360" w:lineRule="auto"/>
        <w:jc w:val="both"/>
        <w:rPr>
          <w:sz w:val="18"/>
          <w:szCs w:val="18"/>
        </w:rPr>
      </w:pPr>
      <w:r w:rsidRPr="00B87F1C">
        <w:rPr>
          <w:noProof/>
          <w:sz w:val="18"/>
          <w:szCs w:val="18"/>
        </w:rPr>
        <w:drawing>
          <wp:inline distT="0" distB="0" distL="0" distR="0" wp14:anchorId="65EEE93A" wp14:editId="19763AC7">
            <wp:extent cx="2857500" cy="1685925"/>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3"/>
                    <a:srcRect/>
                    <a:stretch>
                      <a:fillRect/>
                    </a:stretch>
                  </pic:blipFill>
                  <pic:spPr bwMode="auto">
                    <a:xfrm>
                      <a:off x="0" y="0"/>
                      <a:ext cx="2857500" cy="1685925"/>
                    </a:xfrm>
                    <a:prstGeom prst="rect">
                      <a:avLst/>
                    </a:prstGeom>
                  </pic:spPr>
                </pic:pic>
              </a:graphicData>
            </a:graphic>
          </wp:inline>
        </w:drawing>
      </w:r>
    </w:p>
    <w:p w14:paraId="71994FB4" w14:textId="107BC0F1" w:rsidR="005E0532" w:rsidRDefault="005E0532" w:rsidP="00B87F1C">
      <w:pPr>
        <w:spacing w:line="360" w:lineRule="auto"/>
        <w:jc w:val="both"/>
        <w:rPr>
          <w:sz w:val="18"/>
          <w:szCs w:val="18"/>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p>
    <w:p w14:paraId="32461EC8" w14:textId="77777777" w:rsidR="00B87F1C" w:rsidRPr="00B87F1C" w:rsidRDefault="00B87F1C" w:rsidP="00B87F1C">
      <w:pPr>
        <w:spacing w:line="360" w:lineRule="auto"/>
        <w:jc w:val="both"/>
        <w:rPr>
          <w:sz w:val="18"/>
          <w:szCs w:val="18"/>
        </w:rPr>
      </w:pPr>
    </w:p>
    <w:p w14:paraId="37F55B9E" w14:textId="77777777" w:rsidR="003F1FB9" w:rsidRPr="00873AC2" w:rsidRDefault="005E0532" w:rsidP="00166393">
      <w:pPr>
        <w:spacing w:line="360" w:lineRule="auto"/>
        <w:rPr>
          <w:sz w:val="22"/>
          <w:szCs w:val="22"/>
        </w:rPr>
      </w:pPr>
      <w:r w:rsidRPr="00873AC2">
        <w:rPr>
          <w:b/>
          <w:bCs/>
          <w:sz w:val="22"/>
          <w:szCs w:val="22"/>
        </w:rPr>
        <w:t>Figura 2</w:t>
      </w:r>
    </w:p>
    <w:p w14:paraId="5AC8939D" w14:textId="77777777" w:rsidR="003F1FB9" w:rsidRPr="00873AC2" w:rsidRDefault="005E0532" w:rsidP="00166393">
      <w:pPr>
        <w:spacing w:line="360" w:lineRule="auto"/>
        <w:rPr>
          <w:sz w:val="22"/>
          <w:szCs w:val="22"/>
        </w:rPr>
      </w:pPr>
      <w:r w:rsidRPr="00873AC2">
        <w:rPr>
          <w:i/>
          <w:iCs/>
          <w:sz w:val="22"/>
          <w:szCs w:val="22"/>
        </w:rPr>
        <w:t>Diagrama de caja del flujo de inversión (Y2)</w:t>
      </w:r>
    </w:p>
    <w:p w14:paraId="5BD3D85B" w14:textId="77777777" w:rsidR="003F1FB9" w:rsidRPr="00B87F1C" w:rsidRDefault="005E0532" w:rsidP="00B87F1C">
      <w:pPr>
        <w:spacing w:line="360" w:lineRule="auto"/>
        <w:jc w:val="both"/>
        <w:rPr>
          <w:sz w:val="18"/>
          <w:szCs w:val="18"/>
        </w:rPr>
      </w:pPr>
      <w:r w:rsidRPr="00B87F1C">
        <w:rPr>
          <w:noProof/>
          <w:sz w:val="18"/>
          <w:szCs w:val="18"/>
        </w:rPr>
        <w:drawing>
          <wp:inline distT="0" distB="0" distL="0" distR="0" wp14:anchorId="67B99C90" wp14:editId="5D179511">
            <wp:extent cx="2314575" cy="1365599"/>
            <wp:effectExtent l="0" t="0" r="0" b="635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4"/>
                    <a:srcRect/>
                    <a:stretch>
                      <a:fillRect/>
                    </a:stretch>
                  </pic:blipFill>
                  <pic:spPr bwMode="auto">
                    <a:xfrm>
                      <a:off x="0" y="0"/>
                      <a:ext cx="2323806" cy="1371045"/>
                    </a:xfrm>
                    <a:prstGeom prst="rect">
                      <a:avLst/>
                    </a:prstGeom>
                  </pic:spPr>
                </pic:pic>
              </a:graphicData>
            </a:graphic>
          </wp:inline>
        </w:drawing>
      </w:r>
    </w:p>
    <w:p w14:paraId="47E995A9" w14:textId="18F24998" w:rsidR="00166393" w:rsidRDefault="005E0532" w:rsidP="00B87F1C">
      <w:pPr>
        <w:spacing w:line="360" w:lineRule="auto"/>
        <w:jc w:val="both"/>
        <w:rPr>
          <w:b/>
          <w:bCs/>
          <w:sz w:val="22"/>
          <w:szCs w:val="22"/>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r w:rsidR="00166393">
        <w:rPr>
          <w:b/>
          <w:bCs/>
          <w:sz w:val="22"/>
          <w:szCs w:val="22"/>
        </w:rPr>
        <w:br w:type="page"/>
      </w:r>
    </w:p>
    <w:p w14:paraId="0E4FDBB3" w14:textId="1329DC00" w:rsidR="003F1FB9" w:rsidRPr="00873AC2" w:rsidRDefault="005E0532" w:rsidP="00166393">
      <w:pPr>
        <w:spacing w:line="360" w:lineRule="auto"/>
        <w:rPr>
          <w:sz w:val="22"/>
          <w:szCs w:val="22"/>
        </w:rPr>
      </w:pPr>
      <w:r w:rsidRPr="00873AC2">
        <w:rPr>
          <w:b/>
          <w:bCs/>
          <w:sz w:val="22"/>
          <w:szCs w:val="22"/>
        </w:rPr>
        <w:lastRenderedPageBreak/>
        <w:t>Figura 3</w:t>
      </w:r>
    </w:p>
    <w:p w14:paraId="28AC0F96" w14:textId="77777777" w:rsidR="003F1FB9" w:rsidRPr="00873AC2" w:rsidRDefault="005E0532" w:rsidP="00166393">
      <w:pPr>
        <w:spacing w:line="360" w:lineRule="auto"/>
        <w:rPr>
          <w:sz w:val="22"/>
          <w:szCs w:val="22"/>
        </w:rPr>
      </w:pPr>
      <w:r w:rsidRPr="00873AC2">
        <w:rPr>
          <w:i/>
          <w:iCs/>
          <w:sz w:val="22"/>
          <w:szCs w:val="22"/>
        </w:rPr>
        <w:t>Diagrama de caja del flujo de financiamiento (Y3)</w:t>
      </w:r>
    </w:p>
    <w:p w14:paraId="6BDEB1C0" w14:textId="77777777" w:rsidR="003F1FB9" w:rsidRPr="00B87F1C" w:rsidRDefault="005E0532" w:rsidP="00B87F1C">
      <w:pPr>
        <w:spacing w:line="360" w:lineRule="auto"/>
        <w:jc w:val="both"/>
        <w:rPr>
          <w:sz w:val="18"/>
          <w:szCs w:val="18"/>
        </w:rPr>
      </w:pPr>
      <w:r w:rsidRPr="00B87F1C">
        <w:rPr>
          <w:noProof/>
          <w:sz w:val="18"/>
          <w:szCs w:val="18"/>
        </w:rPr>
        <w:drawing>
          <wp:inline distT="0" distB="0" distL="0" distR="0" wp14:anchorId="722EA08D" wp14:editId="01D2276E">
            <wp:extent cx="2857500" cy="1685925"/>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5"/>
                    <a:srcRect/>
                    <a:stretch>
                      <a:fillRect/>
                    </a:stretch>
                  </pic:blipFill>
                  <pic:spPr bwMode="auto">
                    <a:xfrm>
                      <a:off x="0" y="0"/>
                      <a:ext cx="2857500" cy="1685925"/>
                    </a:xfrm>
                    <a:prstGeom prst="rect">
                      <a:avLst/>
                    </a:prstGeom>
                  </pic:spPr>
                </pic:pic>
              </a:graphicData>
            </a:graphic>
          </wp:inline>
        </w:drawing>
      </w:r>
    </w:p>
    <w:p w14:paraId="5955FECC" w14:textId="69614CA2" w:rsidR="003F1FB9" w:rsidRPr="00B87F1C" w:rsidRDefault="005E0532" w:rsidP="00B87F1C">
      <w:pPr>
        <w:spacing w:line="360" w:lineRule="auto"/>
        <w:jc w:val="both"/>
        <w:rPr>
          <w:sz w:val="18"/>
          <w:szCs w:val="18"/>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p>
    <w:p w14:paraId="531CAF40" w14:textId="77777777" w:rsidR="003F1FB9" w:rsidRPr="00873AC2" w:rsidRDefault="005E0532" w:rsidP="00166393">
      <w:pPr>
        <w:spacing w:line="360" w:lineRule="auto"/>
        <w:rPr>
          <w:sz w:val="22"/>
          <w:szCs w:val="22"/>
        </w:rPr>
      </w:pPr>
      <w:r w:rsidRPr="00873AC2">
        <w:rPr>
          <w:b/>
          <w:bCs/>
          <w:sz w:val="22"/>
          <w:szCs w:val="22"/>
        </w:rPr>
        <w:t>Figura 4</w:t>
      </w:r>
    </w:p>
    <w:p w14:paraId="0E7C0D9C" w14:textId="77777777" w:rsidR="003F1FB9" w:rsidRPr="00873AC2" w:rsidRDefault="005E0532" w:rsidP="00166393">
      <w:pPr>
        <w:spacing w:line="360" w:lineRule="auto"/>
        <w:rPr>
          <w:sz w:val="22"/>
          <w:szCs w:val="22"/>
        </w:rPr>
      </w:pPr>
      <w:r w:rsidRPr="00873AC2">
        <w:rPr>
          <w:i/>
          <w:iCs/>
          <w:sz w:val="22"/>
          <w:szCs w:val="22"/>
        </w:rPr>
        <w:t>Diagrama de caja del flujo efectivo neto (Y4)</w:t>
      </w:r>
    </w:p>
    <w:p w14:paraId="4822C79A" w14:textId="77777777" w:rsidR="003F1FB9" w:rsidRPr="00B87F1C" w:rsidRDefault="005E0532" w:rsidP="00B87F1C">
      <w:pPr>
        <w:spacing w:line="360" w:lineRule="auto"/>
        <w:jc w:val="both"/>
        <w:rPr>
          <w:sz w:val="18"/>
          <w:szCs w:val="18"/>
        </w:rPr>
      </w:pPr>
      <w:r w:rsidRPr="00B87F1C">
        <w:rPr>
          <w:noProof/>
          <w:sz w:val="18"/>
          <w:szCs w:val="18"/>
        </w:rPr>
        <w:drawing>
          <wp:inline distT="0" distB="0" distL="0" distR="0" wp14:anchorId="763F5125" wp14:editId="7618DC65">
            <wp:extent cx="2857500" cy="1685925"/>
            <wp:effectExtent l="0" t="0" r="0" b="0"/>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6"/>
                    <a:srcRect/>
                    <a:stretch>
                      <a:fillRect/>
                    </a:stretch>
                  </pic:blipFill>
                  <pic:spPr bwMode="auto">
                    <a:xfrm>
                      <a:off x="0" y="0"/>
                      <a:ext cx="2857500" cy="1685925"/>
                    </a:xfrm>
                    <a:prstGeom prst="rect">
                      <a:avLst/>
                    </a:prstGeom>
                  </pic:spPr>
                </pic:pic>
              </a:graphicData>
            </a:graphic>
          </wp:inline>
        </w:drawing>
      </w:r>
    </w:p>
    <w:p w14:paraId="7950460B" w14:textId="77777777" w:rsidR="003F1FB9" w:rsidRPr="00B87F1C" w:rsidRDefault="005E0532" w:rsidP="00B87F1C">
      <w:pPr>
        <w:spacing w:line="360" w:lineRule="auto"/>
        <w:jc w:val="both"/>
        <w:rPr>
          <w:sz w:val="18"/>
          <w:szCs w:val="18"/>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p>
    <w:p w14:paraId="7F329694" w14:textId="77777777" w:rsidR="003F1FB9" w:rsidRPr="00873AC2" w:rsidRDefault="005E0532" w:rsidP="00166393">
      <w:pPr>
        <w:spacing w:line="360" w:lineRule="auto"/>
        <w:rPr>
          <w:sz w:val="22"/>
          <w:szCs w:val="22"/>
        </w:rPr>
      </w:pPr>
      <w:r w:rsidRPr="00873AC2">
        <w:rPr>
          <w:b/>
          <w:bCs/>
          <w:sz w:val="22"/>
          <w:szCs w:val="22"/>
        </w:rPr>
        <w:t>Figura 5</w:t>
      </w:r>
    </w:p>
    <w:p w14:paraId="52C7AF30" w14:textId="77777777" w:rsidR="003F1FB9" w:rsidRPr="00873AC2" w:rsidRDefault="005E0532" w:rsidP="00166393">
      <w:pPr>
        <w:spacing w:line="360" w:lineRule="auto"/>
        <w:rPr>
          <w:sz w:val="22"/>
          <w:szCs w:val="22"/>
        </w:rPr>
      </w:pPr>
      <w:r w:rsidRPr="00873AC2">
        <w:rPr>
          <w:i/>
          <w:iCs/>
          <w:sz w:val="22"/>
          <w:szCs w:val="22"/>
        </w:rPr>
        <w:t>Diagrama de caja del financiamiento externo (X1)</w:t>
      </w:r>
    </w:p>
    <w:p w14:paraId="5198B55B" w14:textId="77777777" w:rsidR="003F1FB9" w:rsidRPr="00B87F1C" w:rsidRDefault="005E0532" w:rsidP="00B87F1C">
      <w:pPr>
        <w:spacing w:line="360" w:lineRule="auto"/>
        <w:jc w:val="both"/>
        <w:rPr>
          <w:sz w:val="18"/>
          <w:szCs w:val="18"/>
        </w:rPr>
      </w:pPr>
      <w:r w:rsidRPr="00B87F1C">
        <w:rPr>
          <w:noProof/>
          <w:sz w:val="18"/>
          <w:szCs w:val="18"/>
        </w:rPr>
        <w:drawing>
          <wp:inline distT="0" distB="0" distL="0" distR="0" wp14:anchorId="32CC0B73" wp14:editId="58DFFEE3">
            <wp:extent cx="2857500" cy="1685925"/>
            <wp:effectExtent l="0" t="0" r="0" b="0"/>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7"/>
                    <a:srcRect/>
                    <a:stretch>
                      <a:fillRect/>
                    </a:stretch>
                  </pic:blipFill>
                  <pic:spPr bwMode="auto">
                    <a:xfrm>
                      <a:off x="0" y="0"/>
                      <a:ext cx="2857500" cy="1685925"/>
                    </a:xfrm>
                    <a:prstGeom prst="rect">
                      <a:avLst/>
                    </a:prstGeom>
                  </pic:spPr>
                </pic:pic>
              </a:graphicData>
            </a:graphic>
          </wp:inline>
        </w:drawing>
      </w:r>
    </w:p>
    <w:p w14:paraId="6A7233A1" w14:textId="77777777" w:rsidR="003F1FB9" w:rsidRPr="00B87F1C" w:rsidRDefault="005E0532" w:rsidP="00B87F1C">
      <w:pPr>
        <w:spacing w:line="360" w:lineRule="auto"/>
        <w:jc w:val="both"/>
        <w:rPr>
          <w:sz w:val="18"/>
          <w:szCs w:val="18"/>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p>
    <w:p w14:paraId="78310F3B" w14:textId="77777777" w:rsidR="00B87F1C" w:rsidRDefault="00B87F1C">
      <w:pPr>
        <w:rPr>
          <w:b/>
          <w:bCs/>
          <w:sz w:val="22"/>
          <w:szCs w:val="22"/>
        </w:rPr>
      </w:pPr>
      <w:r>
        <w:rPr>
          <w:b/>
          <w:bCs/>
          <w:sz w:val="22"/>
          <w:szCs w:val="22"/>
        </w:rPr>
        <w:br w:type="page"/>
      </w:r>
    </w:p>
    <w:p w14:paraId="3A33A3F2" w14:textId="66C394D1" w:rsidR="003F1FB9" w:rsidRPr="00873AC2" w:rsidRDefault="005E0532" w:rsidP="00166393">
      <w:pPr>
        <w:spacing w:line="360" w:lineRule="auto"/>
        <w:rPr>
          <w:sz w:val="22"/>
          <w:szCs w:val="22"/>
        </w:rPr>
      </w:pPr>
      <w:r w:rsidRPr="00873AC2">
        <w:rPr>
          <w:b/>
          <w:bCs/>
          <w:sz w:val="22"/>
          <w:szCs w:val="22"/>
        </w:rPr>
        <w:lastRenderedPageBreak/>
        <w:t>Figura 6</w:t>
      </w:r>
    </w:p>
    <w:p w14:paraId="6A254970" w14:textId="77777777" w:rsidR="003F1FB9" w:rsidRPr="00873AC2" w:rsidRDefault="005E0532" w:rsidP="00166393">
      <w:pPr>
        <w:spacing w:line="360" w:lineRule="auto"/>
        <w:rPr>
          <w:sz w:val="22"/>
          <w:szCs w:val="22"/>
        </w:rPr>
      </w:pPr>
      <w:r w:rsidRPr="00873AC2">
        <w:rPr>
          <w:i/>
          <w:iCs/>
          <w:sz w:val="22"/>
          <w:szCs w:val="22"/>
        </w:rPr>
        <w:t>Diagrama de caja del costo financiero (X2)</w:t>
      </w:r>
    </w:p>
    <w:p w14:paraId="337F3550" w14:textId="77777777" w:rsidR="003F1FB9" w:rsidRPr="00B87F1C" w:rsidRDefault="005E0532" w:rsidP="00B87F1C">
      <w:pPr>
        <w:spacing w:line="360" w:lineRule="auto"/>
        <w:rPr>
          <w:sz w:val="18"/>
          <w:szCs w:val="18"/>
        </w:rPr>
      </w:pPr>
      <w:r w:rsidRPr="00B87F1C">
        <w:rPr>
          <w:noProof/>
          <w:sz w:val="18"/>
          <w:szCs w:val="18"/>
        </w:rPr>
        <w:drawing>
          <wp:inline distT="0" distB="0" distL="0" distR="0" wp14:anchorId="24422894" wp14:editId="191B6EA4">
            <wp:extent cx="2857500" cy="1685925"/>
            <wp:effectExtent l="0" t="0" r="0" b="0"/>
            <wp:docPr id="7"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8"/>
                    <a:srcRect/>
                    <a:stretch>
                      <a:fillRect/>
                    </a:stretch>
                  </pic:blipFill>
                  <pic:spPr bwMode="auto">
                    <a:xfrm>
                      <a:off x="0" y="0"/>
                      <a:ext cx="2857500" cy="1685925"/>
                    </a:xfrm>
                    <a:prstGeom prst="rect">
                      <a:avLst/>
                    </a:prstGeom>
                  </pic:spPr>
                </pic:pic>
              </a:graphicData>
            </a:graphic>
          </wp:inline>
        </w:drawing>
      </w:r>
    </w:p>
    <w:p w14:paraId="322D1FEC" w14:textId="77777777" w:rsidR="003F1FB9" w:rsidRPr="00B87F1C" w:rsidRDefault="005E0532" w:rsidP="00873AC2">
      <w:pPr>
        <w:spacing w:line="360" w:lineRule="auto"/>
        <w:rPr>
          <w:sz w:val="18"/>
          <w:szCs w:val="18"/>
        </w:rPr>
      </w:pPr>
      <w:r w:rsidRPr="00B87F1C">
        <w:rPr>
          <w:sz w:val="18"/>
          <w:szCs w:val="18"/>
        </w:rPr>
        <w:t xml:space="preserve">Nota. Elaboración propia con SPSS versión 29, a partir de los estados financieros de </w:t>
      </w:r>
      <w:proofErr w:type="spellStart"/>
      <w:r w:rsidRPr="00B87F1C">
        <w:rPr>
          <w:sz w:val="18"/>
          <w:szCs w:val="18"/>
        </w:rPr>
        <w:t>Tecport</w:t>
      </w:r>
      <w:proofErr w:type="spellEnd"/>
      <w:r w:rsidRPr="00B87F1C">
        <w:rPr>
          <w:sz w:val="18"/>
          <w:szCs w:val="18"/>
        </w:rPr>
        <w:t xml:space="preserve"> Perú S.A.C. (2020–2024).</w:t>
      </w:r>
    </w:p>
    <w:p w14:paraId="082E5CC1" w14:textId="77777777" w:rsidR="003F1FB9" w:rsidRPr="00873AC2" w:rsidRDefault="005E0532" w:rsidP="00873AC2">
      <w:pPr>
        <w:spacing w:line="360" w:lineRule="auto"/>
        <w:rPr>
          <w:sz w:val="22"/>
          <w:szCs w:val="22"/>
        </w:rPr>
      </w:pPr>
      <w:r w:rsidRPr="00873AC2">
        <w:rPr>
          <w:b/>
          <w:bCs/>
          <w:i/>
          <w:iCs/>
          <w:sz w:val="22"/>
          <w:szCs w:val="22"/>
        </w:rPr>
        <w:t>Correlación entre las dimensiones del flujo de efectivo</w:t>
      </w:r>
    </w:p>
    <w:p w14:paraId="75A91E8B" w14:textId="7E5C46EF" w:rsidR="003F1FB9" w:rsidRPr="00873AC2" w:rsidRDefault="005E0532" w:rsidP="00873AC2">
      <w:pPr>
        <w:spacing w:line="360" w:lineRule="auto"/>
        <w:ind w:firstLine="567"/>
        <w:jc w:val="both"/>
        <w:rPr>
          <w:sz w:val="22"/>
          <w:szCs w:val="22"/>
        </w:rPr>
      </w:pPr>
      <w:r w:rsidRPr="00873AC2">
        <w:rPr>
          <w:sz w:val="22"/>
          <w:szCs w:val="22"/>
        </w:rPr>
        <w:t>Previo al contraste de hipótesis con las fuentes de financiamiento, se evaluó la relación entre las cuatro dimensiones del flujo de efectivo, con el fin de justificar el uso posterior del análisis de componentes principales.</w:t>
      </w:r>
    </w:p>
    <w:p w14:paraId="7405B0CE" w14:textId="77777777" w:rsidR="003F1FB9" w:rsidRPr="00873AC2" w:rsidRDefault="005E0532" w:rsidP="00873AC2">
      <w:pPr>
        <w:spacing w:line="360" w:lineRule="auto"/>
        <w:rPr>
          <w:sz w:val="22"/>
          <w:szCs w:val="22"/>
        </w:rPr>
      </w:pPr>
      <w:r w:rsidRPr="00873AC2">
        <w:rPr>
          <w:b/>
          <w:bCs/>
          <w:sz w:val="22"/>
          <w:szCs w:val="22"/>
        </w:rPr>
        <w:t>Tabla 2</w:t>
      </w:r>
    </w:p>
    <w:p w14:paraId="195CC7D9" w14:textId="77777777" w:rsidR="003F1FB9" w:rsidRPr="00873AC2" w:rsidRDefault="005E0532" w:rsidP="00873AC2">
      <w:pPr>
        <w:spacing w:line="360" w:lineRule="auto"/>
        <w:rPr>
          <w:sz w:val="22"/>
          <w:szCs w:val="22"/>
        </w:rPr>
      </w:pPr>
      <w:r w:rsidRPr="00873AC2">
        <w:rPr>
          <w:i/>
          <w:iCs/>
          <w:sz w:val="22"/>
          <w:szCs w:val="22"/>
        </w:rPr>
        <w:t>Matriz de correlaciones de Spearman entre las dimensiones del flujo de efectivo</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00"/>
        <w:gridCol w:w="1550"/>
        <w:gridCol w:w="1550"/>
        <w:gridCol w:w="1550"/>
        <w:gridCol w:w="1150"/>
      </w:tblGrid>
      <w:tr w:rsidR="003F1FB9" w:rsidRPr="00B87F1C" w14:paraId="36EB944D" w14:textId="77777777" w:rsidTr="00B87F1C">
        <w:trPr>
          <w:tblHeader/>
        </w:trPr>
        <w:tc>
          <w:tcPr>
            <w:tcW w:w="2700" w:type="dxa"/>
            <w:shd w:val="clear" w:color="auto" w:fill="D9D9D9"/>
            <w:tcMar>
              <w:top w:w="60" w:type="dxa"/>
              <w:left w:w="80" w:type="dxa"/>
              <w:bottom w:w="60" w:type="dxa"/>
              <w:right w:w="80" w:type="dxa"/>
            </w:tcMar>
          </w:tcPr>
          <w:p w14:paraId="176B90CC" w14:textId="77777777" w:rsidR="003F1FB9" w:rsidRPr="00B87F1C" w:rsidRDefault="003F1FB9" w:rsidP="00873AC2">
            <w:pPr>
              <w:spacing w:line="360" w:lineRule="auto"/>
              <w:jc w:val="center"/>
            </w:pPr>
          </w:p>
        </w:tc>
        <w:tc>
          <w:tcPr>
            <w:tcW w:w="1550" w:type="dxa"/>
            <w:shd w:val="clear" w:color="auto" w:fill="D9D9D9"/>
            <w:tcMar>
              <w:top w:w="60" w:type="dxa"/>
              <w:left w:w="80" w:type="dxa"/>
              <w:bottom w:w="60" w:type="dxa"/>
              <w:right w:w="80" w:type="dxa"/>
            </w:tcMar>
          </w:tcPr>
          <w:p w14:paraId="149EA818" w14:textId="77777777" w:rsidR="003F1FB9" w:rsidRPr="00B87F1C" w:rsidRDefault="005E0532" w:rsidP="00873AC2">
            <w:pPr>
              <w:spacing w:line="360" w:lineRule="auto"/>
              <w:jc w:val="center"/>
            </w:pPr>
            <w:r w:rsidRPr="00B87F1C">
              <w:rPr>
                <w:b/>
                <w:bCs/>
              </w:rPr>
              <w:t>Y1</w:t>
            </w:r>
          </w:p>
        </w:tc>
        <w:tc>
          <w:tcPr>
            <w:tcW w:w="1550" w:type="dxa"/>
            <w:shd w:val="clear" w:color="auto" w:fill="D9D9D9"/>
            <w:tcMar>
              <w:top w:w="60" w:type="dxa"/>
              <w:left w:w="80" w:type="dxa"/>
              <w:bottom w:w="60" w:type="dxa"/>
              <w:right w:w="80" w:type="dxa"/>
            </w:tcMar>
          </w:tcPr>
          <w:p w14:paraId="25A36D39" w14:textId="77777777" w:rsidR="003F1FB9" w:rsidRPr="00B87F1C" w:rsidRDefault="005E0532" w:rsidP="00873AC2">
            <w:pPr>
              <w:spacing w:line="360" w:lineRule="auto"/>
              <w:jc w:val="center"/>
            </w:pPr>
            <w:r w:rsidRPr="00B87F1C">
              <w:rPr>
                <w:b/>
                <w:bCs/>
              </w:rPr>
              <w:t>Y2</w:t>
            </w:r>
          </w:p>
        </w:tc>
        <w:tc>
          <w:tcPr>
            <w:tcW w:w="1550" w:type="dxa"/>
            <w:shd w:val="clear" w:color="auto" w:fill="D9D9D9"/>
            <w:tcMar>
              <w:top w:w="60" w:type="dxa"/>
              <w:left w:w="80" w:type="dxa"/>
              <w:bottom w:w="60" w:type="dxa"/>
              <w:right w:w="80" w:type="dxa"/>
            </w:tcMar>
          </w:tcPr>
          <w:p w14:paraId="09A1E8A5" w14:textId="77777777" w:rsidR="003F1FB9" w:rsidRPr="00B87F1C" w:rsidRDefault="005E0532" w:rsidP="00873AC2">
            <w:pPr>
              <w:spacing w:line="360" w:lineRule="auto"/>
              <w:jc w:val="center"/>
            </w:pPr>
            <w:r w:rsidRPr="00B87F1C">
              <w:rPr>
                <w:b/>
                <w:bCs/>
              </w:rPr>
              <w:t>Y3</w:t>
            </w:r>
          </w:p>
        </w:tc>
        <w:tc>
          <w:tcPr>
            <w:tcW w:w="1150" w:type="dxa"/>
            <w:shd w:val="clear" w:color="auto" w:fill="D9D9D9"/>
            <w:tcMar>
              <w:top w:w="60" w:type="dxa"/>
              <w:left w:w="80" w:type="dxa"/>
              <w:bottom w:w="60" w:type="dxa"/>
              <w:right w:w="80" w:type="dxa"/>
            </w:tcMar>
          </w:tcPr>
          <w:p w14:paraId="2366B99D" w14:textId="77777777" w:rsidR="003F1FB9" w:rsidRPr="00B87F1C" w:rsidRDefault="005E0532" w:rsidP="00873AC2">
            <w:pPr>
              <w:spacing w:line="360" w:lineRule="auto"/>
              <w:jc w:val="center"/>
            </w:pPr>
            <w:r w:rsidRPr="00B87F1C">
              <w:rPr>
                <w:b/>
                <w:bCs/>
              </w:rPr>
              <w:t>Y4</w:t>
            </w:r>
          </w:p>
        </w:tc>
      </w:tr>
      <w:tr w:rsidR="003F1FB9" w:rsidRPr="00B87F1C" w14:paraId="3746E7E1" w14:textId="77777777" w:rsidTr="00B87F1C">
        <w:tc>
          <w:tcPr>
            <w:tcW w:w="2700" w:type="dxa"/>
            <w:tcMar>
              <w:top w:w="60" w:type="dxa"/>
              <w:left w:w="80" w:type="dxa"/>
              <w:bottom w:w="60" w:type="dxa"/>
              <w:right w:w="80" w:type="dxa"/>
            </w:tcMar>
          </w:tcPr>
          <w:p w14:paraId="06A526C4" w14:textId="77777777" w:rsidR="003F1FB9" w:rsidRPr="00B87F1C" w:rsidRDefault="005E0532" w:rsidP="00873AC2">
            <w:pPr>
              <w:spacing w:line="360" w:lineRule="auto"/>
              <w:jc w:val="center"/>
            </w:pPr>
            <w:r w:rsidRPr="00B87F1C">
              <w:t>Y1 – Flujo operativo</w:t>
            </w:r>
          </w:p>
        </w:tc>
        <w:tc>
          <w:tcPr>
            <w:tcW w:w="1550" w:type="dxa"/>
            <w:tcMar>
              <w:top w:w="60" w:type="dxa"/>
              <w:left w:w="80" w:type="dxa"/>
              <w:bottom w:w="60" w:type="dxa"/>
              <w:right w:w="80" w:type="dxa"/>
            </w:tcMar>
          </w:tcPr>
          <w:p w14:paraId="08CCEA0C" w14:textId="77777777" w:rsidR="003F1FB9" w:rsidRPr="00B87F1C" w:rsidRDefault="005E0532" w:rsidP="00873AC2">
            <w:pPr>
              <w:spacing w:line="360" w:lineRule="auto"/>
              <w:jc w:val="center"/>
            </w:pPr>
            <w:r w:rsidRPr="00B87F1C">
              <w:t>1.000</w:t>
            </w:r>
          </w:p>
        </w:tc>
        <w:tc>
          <w:tcPr>
            <w:tcW w:w="1550" w:type="dxa"/>
            <w:tcMar>
              <w:top w:w="60" w:type="dxa"/>
              <w:left w:w="80" w:type="dxa"/>
              <w:bottom w:w="60" w:type="dxa"/>
              <w:right w:w="80" w:type="dxa"/>
            </w:tcMar>
          </w:tcPr>
          <w:p w14:paraId="383B94B8" w14:textId="77777777" w:rsidR="003F1FB9" w:rsidRPr="00B87F1C" w:rsidRDefault="005E0532" w:rsidP="00873AC2">
            <w:pPr>
              <w:spacing w:line="360" w:lineRule="auto"/>
              <w:jc w:val="center"/>
            </w:pPr>
            <w:r w:rsidRPr="00B87F1C">
              <w:t>–0.081 (p=0.537)</w:t>
            </w:r>
          </w:p>
        </w:tc>
        <w:tc>
          <w:tcPr>
            <w:tcW w:w="1550" w:type="dxa"/>
            <w:tcMar>
              <w:top w:w="60" w:type="dxa"/>
              <w:left w:w="80" w:type="dxa"/>
              <w:bottom w:w="60" w:type="dxa"/>
              <w:right w:w="80" w:type="dxa"/>
            </w:tcMar>
          </w:tcPr>
          <w:p w14:paraId="60C51FD2" w14:textId="77777777" w:rsidR="003F1FB9" w:rsidRPr="00B87F1C" w:rsidRDefault="005E0532" w:rsidP="00873AC2">
            <w:pPr>
              <w:spacing w:line="360" w:lineRule="auto"/>
              <w:jc w:val="center"/>
            </w:pPr>
            <w:r w:rsidRPr="00B87F1C">
              <w:t>–0.712** (p=0.000)</w:t>
            </w:r>
          </w:p>
        </w:tc>
        <w:tc>
          <w:tcPr>
            <w:tcW w:w="1150" w:type="dxa"/>
            <w:tcMar>
              <w:top w:w="60" w:type="dxa"/>
              <w:left w:w="80" w:type="dxa"/>
              <w:bottom w:w="60" w:type="dxa"/>
              <w:right w:w="80" w:type="dxa"/>
            </w:tcMar>
          </w:tcPr>
          <w:p w14:paraId="0562B859" w14:textId="77777777" w:rsidR="003F1FB9" w:rsidRPr="00B87F1C" w:rsidRDefault="005E0532" w:rsidP="00873AC2">
            <w:pPr>
              <w:spacing w:line="360" w:lineRule="auto"/>
              <w:jc w:val="center"/>
            </w:pPr>
            <w:r w:rsidRPr="00B87F1C">
              <w:t>0.140 (p=0.287)</w:t>
            </w:r>
          </w:p>
        </w:tc>
      </w:tr>
      <w:tr w:rsidR="003F1FB9" w:rsidRPr="00B87F1C" w14:paraId="4D997BDD" w14:textId="77777777" w:rsidTr="00B87F1C">
        <w:tc>
          <w:tcPr>
            <w:tcW w:w="2700" w:type="dxa"/>
            <w:tcMar>
              <w:top w:w="60" w:type="dxa"/>
              <w:left w:w="80" w:type="dxa"/>
              <w:bottom w:w="60" w:type="dxa"/>
              <w:right w:w="80" w:type="dxa"/>
            </w:tcMar>
          </w:tcPr>
          <w:p w14:paraId="363A6966" w14:textId="77777777" w:rsidR="003F1FB9" w:rsidRPr="00B87F1C" w:rsidRDefault="005E0532" w:rsidP="00873AC2">
            <w:pPr>
              <w:spacing w:line="360" w:lineRule="auto"/>
              <w:jc w:val="center"/>
            </w:pPr>
            <w:r w:rsidRPr="00B87F1C">
              <w:t>Y2 – Flujo de inversión</w:t>
            </w:r>
          </w:p>
        </w:tc>
        <w:tc>
          <w:tcPr>
            <w:tcW w:w="1550" w:type="dxa"/>
            <w:tcMar>
              <w:top w:w="60" w:type="dxa"/>
              <w:left w:w="80" w:type="dxa"/>
              <w:bottom w:w="60" w:type="dxa"/>
              <w:right w:w="80" w:type="dxa"/>
            </w:tcMar>
          </w:tcPr>
          <w:p w14:paraId="79EA2C8B" w14:textId="77777777" w:rsidR="003F1FB9" w:rsidRPr="00B87F1C" w:rsidRDefault="005E0532" w:rsidP="00873AC2">
            <w:pPr>
              <w:spacing w:line="360" w:lineRule="auto"/>
              <w:jc w:val="center"/>
            </w:pPr>
            <w:r w:rsidRPr="00B87F1C">
              <w:t>–0.081 (p=0.537)</w:t>
            </w:r>
          </w:p>
        </w:tc>
        <w:tc>
          <w:tcPr>
            <w:tcW w:w="1550" w:type="dxa"/>
            <w:tcMar>
              <w:top w:w="60" w:type="dxa"/>
              <w:left w:w="80" w:type="dxa"/>
              <w:bottom w:w="60" w:type="dxa"/>
              <w:right w:w="80" w:type="dxa"/>
            </w:tcMar>
          </w:tcPr>
          <w:p w14:paraId="27BBBD12" w14:textId="77777777" w:rsidR="003F1FB9" w:rsidRPr="00B87F1C" w:rsidRDefault="005E0532" w:rsidP="00873AC2">
            <w:pPr>
              <w:spacing w:line="360" w:lineRule="auto"/>
              <w:jc w:val="center"/>
            </w:pPr>
            <w:r w:rsidRPr="00B87F1C">
              <w:t>1.000</w:t>
            </w:r>
          </w:p>
        </w:tc>
        <w:tc>
          <w:tcPr>
            <w:tcW w:w="1550" w:type="dxa"/>
            <w:tcMar>
              <w:top w:w="60" w:type="dxa"/>
              <w:left w:w="80" w:type="dxa"/>
              <w:bottom w:w="60" w:type="dxa"/>
              <w:right w:w="80" w:type="dxa"/>
            </w:tcMar>
          </w:tcPr>
          <w:p w14:paraId="685116A8" w14:textId="77777777" w:rsidR="003F1FB9" w:rsidRPr="00B87F1C" w:rsidRDefault="005E0532" w:rsidP="00873AC2">
            <w:pPr>
              <w:spacing w:line="360" w:lineRule="auto"/>
              <w:jc w:val="center"/>
            </w:pPr>
            <w:r w:rsidRPr="00B87F1C">
              <w:t>–0.394** (p=0.002)</w:t>
            </w:r>
          </w:p>
        </w:tc>
        <w:tc>
          <w:tcPr>
            <w:tcW w:w="1150" w:type="dxa"/>
            <w:tcMar>
              <w:top w:w="60" w:type="dxa"/>
              <w:left w:w="80" w:type="dxa"/>
              <w:bottom w:w="60" w:type="dxa"/>
              <w:right w:w="80" w:type="dxa"/>
            </w:tcMar>
          </w:tcPr>
          <w:p w14:paraId="09DF10F0" w14:textId="77777777" w:rsidR="003F1FB9" w:rsidRPr="00B87F1C" w:rsidRDefault="005E0532" w:rsidP="00873AC2">
            <w:pPr>
              <w:spacing w:line="360" w:lineRule="auto"/>
              <w:jc w:val="center"/>
            </w:pPr>
            <w:r w:rsidRPr="00B87F1C">
              <w:t>–0.143 (p=0.276)</w:t>
            </w:r>
          </w:p>
        </w:tc>
      </w:tr>
      <w:tr w:rsidR="003F1FB9" w:rsidRPr="00B87F1C" w14:paraId="57182551" w14:textId="77777777" w:rsidTr="00B87F1C">
        <w:tc>
          <w:tcPr>
            <w:tcW w:w="2700" w:type="dxa"/>
            <w:tcMar>
              <w:top w:w="60" w:type="dxa"/>
              <w:left w:w="80" w:type="dxa"/>
              <w:bottom w:w="60" w:type="dxa"/>
              <w:right w:w="80" w:type="dxa"/>
            </w:tcMar>
          </w:tcPr>
          <w:p w14:paraId="14319B5D" w14:textId="77777777" w:rsidR="003F1FB9" w:rsidRPr="00B87F1C" w:rsidRDefault="005E0532" w:rsidP="00873AC2">
            <w:pPr>
              <w:spacing w:line="360" w:lineRule="auto"/>
              <w:jc w:val="center"/>
            </w:pPr>
            <w:r w:rsidRPr="00B87F1C">
              <w:t>Y3 – Flujo de financiamiento</w:t>
            </w:r>
          </w:p>
        </w:tc>
        <w:tc>
          <w:tcPr>
            <w:tcW w:w="1550" w:type="dxa"/>
            <w:tcMar>
              <w:top w:w="60" w:type="dxa"/>
              <w:left w:w="80" w:type="dxa"/>
              <w:bottom w:w="60" w:type="dxa"/>
              <w:right w:w="80" w:type="dxa"/>
            </w:tcMar>
          </w:tcPr>
          <w:p w14:paraId="4E21FC9A" w14:textId="77777777" w:rsidR="003F1FB9" w:rsidRPr="00B87F1C" w:rsidRDefault="005E0532" w:rsidP="00873AC2">
            <w:pPr>
              <w:spacing w:line="360" w:lineRule="auto"/>
              <w:jc w:val="center"/>
            </w:pPr>
            <w:r w:rsidRPr="00B87F1C">
              <w:t>–0.712** (p=0.000)</w:t>
            </w:r>
          </w:p>
        </w:tc>
        <w:tc>
          <w:tcPr>
            <w:tcW w:w="1550" w:type="dxa"/>
            <w:tcMar>
              <w:top w:w="60" w:type="dxa"/>
              <w:left w:w="80" w:type="dxa"/>
              <w:bottom w:w="60" w:type="dxa"/>
              <w:right w:w="80" w:type="dxa"/>
            </w:tcMar>
          </w:tcPr>
          <w:p w14:paraId="08E4742B" w14:textId="77777777" w:rsidR="003F1FB9" w:rsidRPr="00B87F1C" w:rsidRDefault="005E0532" w:rsidP="00873AC2">
            <w:pPr>
              <w:spacing w:line="360" w:lineRule="auto"/>
              <w:jc w:val="center"/>
            </w:pPr>
            <w:r w:rsidRPr="00B87F1C">
              <w:t>–0.394** (p=0.002)</w:t>
            </w:r>
          </w:p>
        </w:tc>
        <w:tc>
          <w:tcPr>
            <w:tcW w:w="1550" w:type="dxa"/>
            <w:tcMar>
              <w:top w:w="60" w:type="dxa"/>
              <w:left w:w="80" w:type="dxa"/>
              <w:bottom w:w="60" w:type="dxa"/>
              <w:right w:w="80" w:type="dxa"/>
            </w:tcMar>
          </w:tcPr>
          <w:p w14:paraId="3F494F64" w14:textId="77777777" w:rsidR="003F1FB9" w:rsidRPr="00B87F1C" w:rsidRDefault="005E0532" w:rsidP="00873AC2">
            <w:pPr>
              <w:spacing w:line="360" w:lineRule="auto"/>
              <w:jc w:val="center"/>
            </w:pPr>
            <w:r w:rsidRPr="00B87F1C">
              <w:t>1.000</w:t>
            </w:r>
          </w:p>
        </w:tc>
        <w:tc>
          <w:tcPr>
            <w:tcW w:w="1150" w:type="dxa"/>
            <w:tcMar>
              <w:top w:w="60" w:type="dxa"/>
              <w:left w:w="80" w:type="dxa"/>
              <w:bottom w:w="60" w:type="dxa"/>
              <w:right w:w="80" w:type="dxa"/>
            </w:tcMar>
          </w:tcPr>
          <w:p w14:paraId="7A778AE3" w14:textId="77777777" w:rsidR="003F1FB9" w:rsidRPr="00B87F1C" w:rsidRDefault="005E0532" w:rsidP="00873AC2">
            <w:pPr>
              <w:spacing w:line="360" w:lineRule="auto"/>
              <w:jc w:val="center"/>
            </w:pPr>
            <w:r w:rsidRPr="00B87F1C">
              <w:t>0.206 (p=0.115)</w:t>
            </w:r>
          </w:p>
        </w:tc>
      </w:tr>
      <w:tr w:rsidR="003F1FB9" w:rsidRPr="00B87F1C" w14:paraId="36AAC8D5" w14:textId="77777777" w:rsidTr="00B87F1C">
        <w:tc>
          <w:tcPr>
            <w:tcW w:w="2700" w:type="dxa"/>
            <w:tcMar>
              <w:top w:w="60" w:type="dxa"/>
              <w:left w:w="80" w:type="dxa"/>
              <w:bottom w:w="60" w:type="dxa"/>
              <w:right w:w="80" w:type="dxa"/>
            </w:tcMar>
          </w:tcPr>
          <w:p w14:paraId="545C8232" w14:textId="77777777" w:rsidR="003F1FB9" w:rsidRPr="00B87F1C" w:rsidRDefault="005E0532" w:rsidP="00873AC2">
            <w:pPr>
              <w:spacing w:line="360" w:lineRule="auto"/>
              <w:jc w:val="center"/>
            </w:pPr>
            <w:r w:rsidRPr="00B87F1C">
              <w:t>Y4 – Flujo efectivo neto</w:t>
            </w:r>
          </w:p>
        </w:tc>
        <w:tc>
          <w:tcPr>
            <w:tcW w:w="1550" w:type="dxa"/>
            <w:tcMar>
              <w:top w:w="60" w:type="dxa"/>
              <w:left w:w="80" w:type="dxa"/>
              <w:bottom w:w="60" w:type="dxa"/>
              <w:right w:w="80" w:type="dxa"/>
            </w:tcMar>
          </w:tcPr>
          <w:p w14:paraId="7BFB95F9" w14:textId="77777777" w:rsidR="003F1FB9" w:rsidRPr="00B87F1C" w:rsidRDefault="005E0532" w:rsidP="00873AC2">
            <w:pPr>
              <w:spacing w:line="360" w:lineRule="auto"/>
              <w:jc w:val="center"/>
            </w:pPr>
            <w:r w:rsidRPr="00B87F1C">
              <w:t>0.140 (p=0.287)</w:t>
            </w:r>
          </w:p>
        </w:tc>
        <w:tc>
          <w:tcPr>
            <w:tcW w:w="1550" w:type="dxa"/>
            <w:tcMar>
              <w:top w:w="60" w:type="dxa"/>
              <w:left w:w="80" w:type="dxa"/>
              <w:bottom w:w="60" w:type="dxa"/>
              <w:right w:w="80" w:type="dxa"/>
            </w:tcMar>
          </w:tcPr>
          <w:p w14:paraId="7DB55B2D" w14:textId="77777777" w:rsidR="003F1FB9" w:rsidRPr="00B87F1C" w:rsidRDefault="005E0532" w:rsidP="00873AC2">
            <w:pPr>
              <w:spacing w:line="360" w:lineRule="auto"/>
              <w:jc w:val="center"/>
            </w:pPr>
            <w:r w:rsidRPr="00B87F1C">
              <w:t>–0.143 (p=0.276)</w:t>
            </w:r>
          </w:p>
        </w:tc>
        <w:tc>
          <w:tcPr>
            <w:tcW w:w="1550" w:type="dxa"/>
            <w:tcMar>
              <w:top w:w="60" w:type="dxa"/>
              <w:left w:w="80" w:type="dxa"/>
              <w:bottom w:w="60" w:type="dxa"/>
              <w:right w:w="80" w:type="dxa"/>
            </w:tcMar>
          </w:tcPr>
          <w:p w14:paraId="3177D8F1" w14:textId="77777777" w:rsidR="003F1FB9" w:rsidRPr="00B87F1C" w:rsidRDefault="005E0532" w:rsidP="00873AC2">
            <w:pPr>
              <w:spacing w:line="360" w:lineRule="auto"/>
              <w:jc w:val="center"/>
            </w:pPr>
            <w:r w:rsidRPr="00B87F1C">
              <w:t>0.206 (p=0.115)</w:t>
            </w:r>
          </w:p>
        </w:tc>
        <w:tc>
          <w:tcPr>
            <w:tcW w:w="1150" w:type="dxa"/>
            <w:tcMar>
              <w:top w:w="60" w:type="dxa"/>
              <w:left w:w="80" w:type="dxa"/>
              <w:bottom w:w="60" w:type="dxa"/>
              <w:right w:w="80" w:type="dxa"/>
            </w:tcMar>
          </w:tcPr>
          <w:p w14:paraId="5DCA584F" w14:textId="77777777" w:rsidR="003F1FB9" w:rsidRPr="00B87F1C" w:rsidRDefault="005E0532" w:rsidP="00873AC2">
            <w:pPr>
              <w:spacing w:line="360" w:lineRule="auto"/>
              <w:jc w:val="center"/>
            </w:pPr>
            <w:r w:rsidRPr="00B87F1C">
              <w:t>1.000</w:t>
            </w:r>
          </w:p>
        </w:tc>
      </w:tr>
    </w:tbl>
    <w:p w14:paraId="50E77011" w14:textId="77777777" w:rsidR="003F1FB9" w:rsidRPr="00B87F1C" w:rsidRDefault="005E0532" w:rsidP="00873AC2">
      <w:pPr>
        <w:spacing w:line="360" w:lineRule="auto"/>
        <w:rPr>
          <w:sz w:val="18"/>
          <w:szCs w:val="18"/>
        </w:rPr>
      </w:pPr>
      <w:r w:rsidRPr="00B87F1C">
        <w:rPr>
          <w:sz w:val="18"/>
          <w:szCs w:val="18"/>
        </w:rPr>
        <w:t>Nota. **p &lt; 0.01 (bilateral). Elaboración propia a partir de los resultados del análisis en SPSS versión 29.</w:t>
      </w:r>
    </w:p>
    <w:p w14:paraId="59C30A1A" w14:textId="77777777" w:rsidR="003F1FB9" w:rsidRPr="00873AC2" w:rsidRDefault="005E0532" w:rsidP="00873AC2">
      <w:pPr>
        <w:spacing w:line="360" w:lineRule="auto"/>
        <w:ind w:firstLine="567"/>
        <w:jc w:val="both"/>
        <w:rPr>
          <w:sz w:val="22"/>
          <w:szCs w:val="22"/>
        </w:rPr>
      </w:pPr>
      <w:r w:rsidRPr="00873AC2">
        <w:rPr>
          <w:sz w:val="22"/>
          <w:szCs w:val="22"/>
        </w:rPr>
        <w:t xml:space="preserve">El flujo operativo y el flujo de financiamiento presentaron una correlación negativa fuerte y significativa (ρ = –0.712; p = 0.000), lo cual indica que, cuando aumenta la entrada de fondos por financiamiento, el flujo operativo tiende a moverse en sentido contrario, patrón coherente con periodos en los que la empresa recurre a crédito precisamente para compensar caídas operativas. El flujo de inversión también se relacionó negativamente con el flujo de financiamiento (ρ = –0.394; p = 0.002), reflejando la tensión entre decisiones de inversión y apalancamiento. El flujo efectivo neto no mostró correlaciones significativas con ninguna de las otras dimensiones consideradas de forma aislada, lo que anticipó que su comportamiento respondería a la </w:t>
      </w:r>
      <w:r w:rsidRPr="00873AC2">
        <w:rPr>
          <w:sz w:val="22"/>
          <w:szCs w:val="22"/>
        </w:rPr>
        <w:lastRenderedPageBreak/>
        <w:t xml:space="preserve">combinación conjunta de los demás flujos y no a una relación </w:t>
      </w:r>
      <w:proofErr w:type="spellStart"/>
      <w:r w:rsidRPr="00873AC2">
        <w:rPr>
          <w:sz w:val="22"/>
          <w:szCs w:val="22"/>
        </w:rPr>
        <w:t>bivariada</w:t>
      </w:r>
      <w:proofErr w:type="spellEnd"/>
      <w:r w:rsidRPr="00873AC2">
        <w:rPr>
          <w:sz w:val="22"/>
          <w:szCs w:val="22"/>
        </w:rPr>
        <w:t xml:space="preserve"> simple, hallazgo que justificó la posterior aplicación del ACP.</w:t>
      </w:r>
    </w:p>
    <w:p w14:paraId="2A675DB0" w14:textId="77777777" w:rsidR="003F1FB9" w:rsidRPr="00B87F1C" w:rsidRDefault="005E0532" w:rsidP="00873AC2">
      <w:pPr>
        <w:spacing w:line="360" w:lineRule="auto"/>
        <w:rPr>
          <w:sz w:val="22"/>
          <w:szCs w:val="22"/>
        </w:rPr>
      </w:pPr>
      <w:r w:rsidRPr="00B87F1C">
        <w:rPr>
          <w:b/>
          <w:bCs/>
          <w:sz w:val="22"/>
          <w:szCs w:val="22"/>
        </w:rPr>
        <w:t>Relación entre las fuentes de financiamiento y el flujo de efectivo</w:t>
      </w:r>
    </w:p>
    <w:p w14:paraId="5A820566" w14:textId="28C7C3E2" w:rsidR="003F1FB9" w:rsidRPr="00873AC2" w:rsidRDefault="005E0532" w:rsidP="00873AC2">
      <w:pPr>
        <w:spacing w:line="360" w:lineRule="auto"/>
        <w:ind w:firstLine="567"/>
        <w:jc w:val="both"/>
        <w:rPr>
          <w:sz w:val="22"/>
          <w:szCs w:val="22"/>
        </w:rPr>
      </w:pPr>
      <w:r w:rsidRPr="00873AC2">
        <w:rPr>
          <w:sz w:val="22"/>
          <w:szCs w:val="22"/>
        </w:rPr>
        <w:t>Al analizar la relación entre el financiamiento externo (X1) y las dimensiones del flujo de efectivo, se identificaron correlaciones significativas con el flujo operativo (ρ = –0.496; p = 0.000), el flujo de inversión (ρ = –0.446; p = 0.000) y el flujo de financiamiento (ρ = 0.763; p = 0.000), mientras que la asociación con el flujo efectivo neto no resultó significativa (ρ = 0.166; p = 0.204). En contraste, el costo financiero (X2) no presentó correlaciones significativas con ninguna de las dimensiones del flujo de efectivo, incluyendo el flujo neto (ρ = –0.006; p = 0.963), lo que sugiere que, en el periodo analizado, la carga de intereses no explica por sí sola las variaciones mensuales de la caja, sino que se integra a una dinámica financiera más compleja.</w:t>
      </w:r>
    </w:p>
    <w:p w14:paraId="4915F970" w14:textId="77777777" w:rsidR="003F1FB9" w:rsidRPr="00873AC2" w:rsidRDefault="005E0532" w:rsidP="00B87F1C">
      <w:pPr>
        <w:rPr>
          <w:sz w:val="22"/>
          <w:szCs w:val="22"/>
        </w:rPr>
      </w:pPr>
      <w:r w:rsidRPr="00873AC2">
        <w:rPr>
          <w:b/>
          <w:bCs/>
          <w:sz w:val="22"/>
          <w:szCs w:val="22"/>
        </w:rPr>
        <w:t>Tabla 3</w:t>
      </w:r>
    </w:p>
    <w:p w14:paraId="6B0F204A" w14:textId="77777777" w:rsidR="003F1FB9" w:rsidRPr="00873AC2" w:rsidRDefault="005E0532" w:rsidP="00B87F1C">
      <w:pPr>
        <w:rPr>
          <w:sz w:val="22"/>
          <w:szCs w:val="22"/>
        </w:rPr>
      </w:pPr>
      <w:r w:rsidRPr="00873AC2">
        <w:rPr>
          <w:i/>
          <w:iCs/>
          <w:sz w:val="22"/>
          <w:szCs w:val="22"/>
        </w:rPr>
        <w:t>Correlaciones de Spearman entre las fuentes de financiamiento y las dimensiones del flujo de efectivo</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972"/>
        <w:gridCol w:w="1550"/>
        <w:gridCol w:w="1550"/>
        <w:gridCol w:w="1550"/>
        <w:gridCol w:w="1304"/>
      </w:tblGrid>
      <w:tr w:rsidR="003F1FB9" w:rsidRPr="00873AC2" w14:paraId="77AC8DD0" w14:textId="77777777" w:rsidTr="008F1F2D">
        <w:trPr>
          <w:tblHeader/>
        </w:trPr>
        <w:tc>
          <w:tcPr>
            <w:tcW w:w="2972" w:type="dxa"/>
            <w:shd w:val="clear" w:color="auto" w:fill="D9D9D9"/>
            <w:tcMar>
              <w:top w:w="60" w:type="dxa"/>
              <w:left w:w="80" w:type="dxa"/>
              <w:bottom w:w="60" w:type="dxa"/>
              <w:right w:w="80" w:type="dxa"/>
            </w:tcMar>
          </w:tcPr>
          <w:p w14:paraId="3E56B896" w14:textId="77777777" w:rsidR="003F1FB9" w:rsidRPr="00873AC2" w:rsidRDefault="005E0532" w:rsidP="00873AC2">
            <w:pPr>
              <w:spacing w:line="360" w:lineRule="auto"/>
              <w:jc w:val="center"/>
              <w:rPr>
                <w:sz w:val="22"/>
                <w:szCs w:val="22"/>
              </w:rPr>
            </w:pPr>
            <w:r w:rsidRPr="00873AC2">
              <w:rPr>
                <w:b/>
                <w:bCs/>
                <w:sz w:val="22"/>
                <w:szCs w:val="22"/>
              </w:rPr>
              <w:t>Variable independiente</w:t>
            </w:r>
          </w:p>
        </w:tc>
        <w:tc>
          <w:tcPr>
            <w:tcW w:w="1550" w:type="dxa"/>
            <w:shd w:val="clear" w:color="auto" w:fill="D9D9D9"/>
            <w:tcMar>
              <w:top w:w="60" w:type="dxa"/>
              <w:left w:w="80" w:type="dxa"/>
              <w:bottom w:w="60" w:type="dxa"/>
              <w:right w:w="80" w:type="dxa"/>
            </w:tcMar>
          </w:tcPr>
          <w:p w14:paraId="1FF41628" w14:textId="77777777" w:rsidR="003F1FB9" w:rsidRPr="00873AC2" w:rsidRDefault="005E0532" w:rsidP="00873AC2">
            <w:pPr>
              <w:spacing w:line="360" w:lineRule="auto"/>
              <w:jc w:val="center"/>
              <w:rPr>
                <w:sz w:val="22"/>
                <w:szCs w:val="22"/>
              </w:rPr>
            </w:pPr>
            <w:r w:rsidRPr="00873AC2">
              <w:rPr>
                <w:b/>
                <w:bCs/>
                <w:sz w:val="22"/>
                <w:szCs w:val="22"/>
              </w:rPr>
              <w:t>Y1</w:t>
            </w:r>
          </w:p>
        </w:tc>
        <w:tc>
          <w:tcPr>
            <w:tcW w:w="1550" w:type="dxa"/>
            <w:shd w:val="clear" w:color="auto" w:fill="D9D9D9"/>
            <w:tcMar>
              <w:top w:w="60" w:type="dxa"/>
              <w:left w:w="80" w:type="dxa"/>
              <w:bottom w:w="60" w:type="dxa"/>
              <w:right w:w="80" w:type="dxa"/>
            </w:tcMar>
          </w:tcPr>
          <w:p w14:paraId="7202B0D4" w14:textId="77777777" w:rsidR="003F1FB9" w:rsidRPr="00873AC2" w:rsidRDefault="005E0532" w:rsidP="00873AC2">
            <w:pPr>
              <w:spacing w:line="360" w:lineRule="auto"/>
              <w:jc w:val="center"/>
              <w:rPr>
                <w:sz w:val="22"/>
                <w:szCs w:val="22"/>
              </w:rPr>
            </w:pPr>
            <w:r w:rsidRPr="00873AC2">
              <w:rPr>
                <w:b/>
                <w:bCs/>
                <w:sz w:val="22"/>
                <w:szCs w:val="22"/>
              </w:rPr>
              <w:t>Y2</w:t>
            </w:r>
          </w:p>
        </w:tc>
        <w:tc>
          <w:tcPr>
            <w:tcW w:w="1550" w:type="dxa"/>
            <w:shd w:val="clear" w:color="auto" w:fill="D9D9D9"/>
            <w:tcMar>
              <w:top w:w="60" w:type="dxa"/>
              <w:left w:w="80" w:type="dxa"/>
              <w:bottom w:w="60" w:type="dxa"/>
              <w:right w:w="80" w:type="dxa"/>
            </w:tcMar>
          </w:tcPr>
          <w:p w14:paraId="6C46ACF9" w14:textId="77777777" w:rsidR="003F1FB9" w:rsidRPr="00873AC2" w:rsidRDefault="005E0532" w:rsidP="00873AC2">
            <w:pPr>
              <w:spacing w:line="360" w:lineRule="auto"/>
              <w:jc w:val="center"/>
              <w:rPr>
                <w:sz w:val="22"/>
                <w:szCs w:val="22"/>
              </w:rPr>
            </w:pPr>
            <w:r w:rsidRPr="00873AC2">
              <w:rPr>
                <w:b/>
                <w:bCs/>
                <w:sz w:val="22"/>
                <w:szCs w:val="22"/>
              </w:rPr>
              <w:t>Y3</w:t>
            </w:r>
          </w:p>
        </w:tc>
        <w:tc>
          <w:tcPr>
            <w:tcW w:w="1304" w:type="dxa"/>
            <w:shd w:val="clear" w:color="auto" w:fill="D9D9D9"/>
            <w:tcMar>
              <w:top w:w="60" w:type="dxa"/>
              <w:left w:w="80" w:type="dxa"/>
              <w:bottom w:w="60" w:type="dxa"/>
              <w:right w:w="80" w:type="dxa"/>
            </w:tcMar>
          </w:tcPr>
          <w:p w14:paraId="6E66C550" w14:textId="77777777" w:rsidR="003F1FB9" w:rsidRPr="00873AC2" w:rsidRDefault="005E0532" w:rsidP="00873AC2">
            <w:pPr>
              <w:spacing w:line="360" w:lineRule="auto"/>
              <w:jc w:val="center"/>
              <w:rPr>
                <w:sz w:val="22"/>
                <w:szCs w:val="22"/>
              </w:rPr>
            </w:pPr>
            <w:r w:rsidRPr="00873AC2">
              <w:rPr>
                <w:b/>
                <w:bCs/>
                <w:sz w:val="22"/>
                <w:szCs w:val="22"/>
              </w:rPr>
              <w:t>Y4</w:t>
            </w:r>
          </w:p>
        </w:tc>
      </w:tr>
      <w:tr w:rsidR="003F1FB9" w:rsidRPr="00873AC2" w14:paraId="1522C63D" w14:textId="77777777" w:rsidTr="008F1F2D">
        <w:tc>
          <w:tcPr>
            <w:tcW w:w="2972" w:type="dxa"/>
            <w:tcMar>
              <w:top w:w="60" w:type="dxa"/>
              <w:left w:w="80" w:type="dxa"/>
              <w:bottom w:w="60" w:type="dxa"/>
              <w:right w:w="80" w:type="dxa"/>
            </w:tcMar>
          </w:tcPr>
          <w:p w14:paraId="31C9593A" w14:textId="77777777" w:rsidR="003F1FB9" w:rsidRPr="00873AC2" w:rsidRDefault="005E0532" w:rsidP="00873AC2">
            <w:pPr>
              <w:spacing w:line="360" w:lineRule="auto"/>
              <w:jc w:val="center"/>
              <w:rPr>
                <w:sz w:val="22"/>
                <w:szCs w:val="22"/>
              </w:rPr>
            </w:pPr>
            <w:r w:rsidRPr="00873AC2">
              <w:rPr>
                <w:sz w:val="22"/>
                <w:szCs w:val="22"/>
              </w:rPr>
              <w:t>Financiamiento externo (X1)</w:t>
            </w:r>
          </w:p>
        </w:tc>
        <w:tc>
          <w:tcPr>
            <w:tcW w:w="1550" w:type="dxa"/>
            <w:tcMar>
              <w:top w:w="60" w:type="dxa"/>
              <w:left w:w="80" w:type="dxa"/>
              <w:bottom w:w="60" w:type="dxa"/>
              <w:right w:w="80" w:type="dxa"/>
            </w:tcMar>
          </w:tcPr>
          <w:p w14:paraId="1470D8DE" w14:textId="77777777" w:rsidR="003F1FB9" w:rsidRPr="00873AC2" w:rsidRDefault="005E0532" w:rsidP="00873AC2">
            <w:pPr>
              <w:spacing w:line="360" w:lineRule="auto"/>
              <w:jc w:val="center"/>
              <w:rPr>
                <w:sz w:val="22"/>
                <w:szCs w:val="22"/>
              </w:rPr>
            </w:pPr>
            <w:r w:rsidRPr="00873AC2">
              <w:rPr>
                <w:sz w:val="22"/>
                <w:szCs w:val="22"/>
              </w:rPr>
              <w:t>–0.496**</w:t>
            </w:r>
          </w:p>
        </w:tc>
        <w:tc>
          <w:tcPr>
            <w:tcW w:w="1550" w:type="dxa"/>
            <w:tcMar>
              <w:top w:w="60" w:type="dxa"/>
              <w:left w:w="80" w:type="dxa"/>
              <w:bottom w:w="60" w:type="dxa"/>
              <w:right w:w="80" w:type="dxa"/>
            </w:tcMar>
          </w:tcPr>
          <w:p w14:paraId="483C8B79" w14:textId="77777777" w:rsidR="003F1FB9" w:rsidRPr="00873AC2" w:rsidRDefault="005E0532" w:rsidP="00873AC2">
            <w:pPr>
              <w:spacing w:line="360" w:lineRule="auto"/>
              <w:jc w:val="center"/>
              <w:rPr>
                <w:sz w:val="22"/>
                <w:szCs w:val="22"/>
              </w:rPr>
            </w:pPr>
            <w:r w:rsidRPr="00873AC2">
              <w:rPr>
                <w:sz w:val="22"/>
                <w:szCs w:val="22"/>
              </w:rPr>
              <w:t>–0.446**</w:t>
            </w:r>
          </w:p>
        </w:tc>
        <w:tc>
          <w:tcPr>
            <w:tcW w:w="1550" w:type="dxa"/>
            <w:tcMar>
              <w:top w:w="60" w:type="dxa"/>
              <w:left w:w="80" w:type="dxa"/>
              <w:bottom w:w="60" w:type="dxa"/>
              <w:right w:w="80" w:type="dxa"/>
            </w:tcMar>
          </w:tcPr>
          <w:p w14:paraId="55BF7E18" w14:textId="77777777" w:rsidR="003F1FB9" w:rsidRPr="00873AC2" w:rsidRDefault="005E0532" w:rsidP="00873AC2">
            <w:pPr>
              <w:spacing w:line="360" w:lineRule="auto"/>
              <w:jc w:val="center"/>
              <w:rPr>
                <w:sz w:val="22"/>
                <w:szCs w:val="22"/>
              </w:rPr>
            </w:pPr>
            <w:r w:rsidRPr="00873AC2">
              <w:rPr>
                <w:sz w:val="22"/>
                <w:szCs w:val="22"/>
              </w:rPr>
              <w:t>0.763**</w:t>
            </w:r>
          </w:p>
        </w:tc>
        <w:tc>
          <w:tcPr>
            <w:tcW w:w="1304" w:type="dxa"/>
            <w:tcMar>
              <w:top w:w="60" w:type="dxa"/>
              <w:left w:w="80" w:type="dxa"/>
              <w:bottom w:w="60" w:type="dxa"/>
              <w:right w:w="80" w:type="dxa"/>
            </w:tcMar>
          </w:tcPr>
          <w:p w14:paraId="2E553018" w14:textId="77777777" w:rsidR="003F1FB9" w:rsidRPr="00873AC2" w:rsidRDefault="005E0532" w:rsidP="00873AC2">
            <w:pPr>
              <w:spacing w:line="360" w:lineRule="auto"/>
              <w:jc w:val="center"/>
              <w:rPr>
                <w:sz w:val="22"/>
                <w:szCs w:val="22"/>
              </w:rPr>
            </w:pPr>
            <w:r w:rsidRPr="00873AC2">
              <w:rPr>
                <w:sz w:val="22"/>
                <w:szCs w:val="22"/>
              </w:rPr>
              <w:t>0.166</w:t>
            </w:r>
          </w:p>
        </w:tc>
      </w:tr>
      <w:tr w:rsidR="003F1FB9" w:rsidRPr="00873AC2" w14:paraId="0342EE08" w14:textId="77777777" w:rsidTr="008F1F2D">
        <w:tc>
          <w:tcPr>
            <w:tcW w:w="2972" w:type="dxa"/>
            <w:tcMar>
              <w:top w:w="60" w:type="dxa"/>
              <w:left w:w="80" w:type="dxa"/>
              <w:bottom w:w="60" w:type="dxa"/>
              <w:right w:w="80" w:type="dxa"/>
            </w:tcMar>
          </w:tcPr>
          <w:p w14:paraId="721BCA81" w14:textId="77777777" w:rsidR="003F1FB9" w:rsidRPr="00873AC2" w:rsidRDefault="005E0532" w:rsidP="00873AC2">
            <w:pPr>
              <w:spacing w:line="360" w:lineRule="auto"/>
              <w:jc w:val="center"/>
              <w:rPr>
                <w:sz w:val="22"/>
                <w:szCs w:val="22"/>
              </w:rPr>
            </w:pPr>
            <w:r w:rsidRPr="00873AC2">
              <w:rPr>
                <w:sz w:val="22"/>
                <w:szCs w:val="22"/>
              </w:rPr>
              <w:t>Costo financiero (X2)</w:t>
            </w:r>
          </w:p>
        </w:tc>
        <w:tc>
          <w:tcPr>
            <w:tcW w:w="1550" w:type="dxa"/>
            <w:tcMar>
              <w:top w:w="60" w:type="dxa"/>
              <w:left w:w="80" w:type="dxa"/>
              <w:bottom w:w="60" w:type="dxa"/>
              <w:right w:w="80" w:type="dxa"/>
            </w:tcMar>
          </w:tcPr>
          <w:p w14:paraId="2F34A77B" w14:textId="77777777" w:rsidR="003F1FB9" w:rsidRPr="00873AC2" w:rsidRDefault="005E0532" w:rsidP="00873AC2">
            <w:pPr>
              <w:spacing w:line="360" w:lineRule="auto"/>
              <w:jc w:val="center"/>
              <w:rPr>
                <w:sz w:val="22"/>
                <w:szCs w:val="22"/>
              </w:rPr>
            </w:pPr>
            <w:r w:rsidRPr="00873AC2">
              <w:rPr>
                <w:sz w:val="22"/>
                <w:szCs w:val="22"/>
              </w:rPr>
              <w:t>0.198</w:t>
            </w:r>
          </w:p>
        </w:tc>
        <w:tc>
          <w:tcPr>
            <w:tcW w:w="1550" w:type="dxa"/>
            <w:tcMar>
              <w:top w:w="60" w:type="dxa"/>
              <w:left w:w="80" w:type="dxa"/>
              <w:bottom w:w="60" w:type="dxa"/>
              <w:right w:w="80" w:type="dxa"/>
            </w:tcMar>
          </w:tcPr>
          <w:p w14:paraId="1209F3D3" w14:textId="77777777" w:rsidR="003F1FB9" w:rsidRPr="00873AC2" w:rsidRDefault="005E0532" w:rsidP="00873AC2">
            <w:pPr>
              <w:spacing w:line="360" w:lineRule="auto"/>
              <w:jc w:val="center"/>
              <w:rPr>
                <w:sz w:val="22"/>
                <w:szCs w:val="22"/>
              </w:rPr>
            </w:pPr>
            <w:r w:rsidRPr="00873AC2">
              <w:rPr>
                <w:sz w:val="22"/>
                <w:szCs w:val="22"/>
              </w:rPr>
              <w:t>0.118</w:t>
            </w:r>
          </w:p>
        </w:tc>
        <w:tc>
          <w:tcPr>
            <w:tcW w:w="1550" w:type="dxa"/>
            <w:tcMar>
              <w:top w:w="60" w:type="dxa"/>
              <w:left w:w="80" w:type="dxa"/>
              <w:bottom w:w="60" w:type="dxa"/>
              <w:right w:w="80" w:type="dxa"/>
            </w:tcMar>
          </w:tcPr>
          <w:p w14:paraId="22DBACD6" w14:textId="77777777" w:rsidR="003F1FB9" w:rsidRPr="00873AC2" w:rsidRDefault="005E0532" w:rsidP="00873AC2">
            <w:pPr>
              <w:spacing w:line="360" w:lineRule="auto"/>
              <w:jc w:val="center"/>
              <w:rPr>
                <w:sz w:val="22"/>
                <w:szCs w:val="22"/>
              </w:rPr>
            </w:pPr>
            <w:r w:rsidRPr="00873AC2">
              <w:rPr>
                <w:sz w:val="22"/>
                <w:szCs w:val="22"/>
              </w:rPr>
              <w:t>–0.224</w:t>
            </w:r>
          </w:p>
        </w:tc>
        <w:tc>
          <w:tcPr>
            <w:tcW w:w="1304" w:type="dxa"/>
            <w:tcMar>
              <w:top w:w="60" w:type="dxa"/>
              <w:left w:w="80" w:type="dxa"/>
              <w:bottom w:w="60" w:type="dxa"/>
              <w:right w:w="80" w:type="dxa"/>
            </w:tcMar>
          </w:tcPr>
          <w:p w14:paraId="608256A5" w14:textId="77777777" w:rsidR="003F1FB9" w:rsidRPr="00873AC2" w:rsidRDefault="005E0532" w:rsidP="00873AC2">
            <w:pPr>
              <w:spacing w:line="360" w:lineRule="auto"/>
              <w:jc w:val="center"/>
              <w:rPr>
                <w:sz w:val="22"/>
                <w:szCs w:val="22"/>
              </w:rPr>
            </w:pPr>
            <w:r w:rsidRPr="00873AC2">
              <w:rPr>
                <w:sz w:val="22"/>
                <w:szCs w:val="22"/>
              </w:rPr>
              <w:t>–0.006</w:t>
            </w:r>
          </w:p>
        </w:tc>
      </w:tr>
    </w:tbl>
    <w:p w14:paraId="39B26693" w14:textId="77777777" w:rsidR="003F1FB9" w:rsidRPr="00B87F1C" w:rsidRDefault="005E0532" w:rsidP="00873AC2">
      <w:pPr>
        <w:spacing w:line="360" w:lineRule="auto"/>
        <w:rPr>
          <w:sz w:val="18"/>
          <w:szCs w:val="18"/>
        </w:rPr>
      </w:pPr>
      <w:r w:rsidRPr="00B87F1C">
        <w:rPr>
          <w:i/>
          <w:iCs/>
          <w:sz w:val="18"/>
          <w:szCs w:val="18"/>
        </w:rPr>
        <w:t>Nota. **p &lt; 0.01 (bilateral). Elaboración propia a partir de los resultados del análisis en SPSS versión 29.</w:t>
      </w:r>
    </w:p>
    <w:p w14:paraId="0C15DBB1" w14:textId="77777777" w:rsidR="003F1FB9" w:rsidRPr="00B87F1C" w:rsidRDefault="005E0532" w:rsidP="00873AC2">
      <w:pPr>
        <w:spacing w:line="360" w:lineRule="auto"/>
        <w:rPr>
          <w:sz w:val="22"/>
          <w:szCs w:val="22"/>
        </w:rPr>
      </w:pPr>
      <w:r w:rsidRPr="00B87F1C">
        <w:rPr>
          <w:b/>
          <w:bCs/>
          <w:sz w:val="22"/>
          <w:szCs w:val="22"/>
        </w:rPr>
        <w:t>Regresión lineal simple</w:t>
      </w:r>
    </w:p>
    <w:p w14:paraId="5AC72D41" w14:textId="2822C21D" w:rsidR="005E0532" w:rsidRPr="00873AC2" w:rsidRDefault="005E0532" w:rsidP="00873AC2">
      <w:pPr>
        <w:spacing w:line="360" w:lineRule="auto"/>
        <w:ind w:firstLine="567"/>
        <w:jc w:val="both"/>
        <w:rPr>
          <w:sz w:val="22"/>
          <w:szCs w:val="22"/>
        </w:rPr>
      </w:pPr>
      <w:r w:rsidRPr="00873AC2">
        <w:rPr>
          <w:sz w:val="22"/>
          <w:szCs w:val="22"/>
        </w:rPr>
        <w:t>Se estimaron dos modelos de regresión lineal simple, tomando como variable dependiente el flujo efectivo neto (Y4) y como variables independientes, respectivamente, el financiamiento externo (X1) y el costo financiero (X2).</w:t>
      </w:r>
    </w:p>
    <w:p w14:paraId="2620091B" w14:textId="77777777" w:rsidR="003F1FB9" w:rsidRPr="00873AC2" w:rsidRDefault="005E0532" w:rsidP="00B87F1C">
      <w:pPr>
        <w:rPr>
          <w:sz w:val="22"/>
          <w:szCs w:val="22"/>
        </w:rPr>
      </w:pPr>
      <w:r w:rsidRPr="00873AC2">
        <w:rPr>
          <w:b/>
          <w:bCs/>
          <w:sz w:val="22"/>
          <w:szCs w:val="22"/>
        </w:rPr>
        <w:t>Tabla 4</w:t>
      </w:r>
    </w:p>
    <w:p w14:paraId="360A1944" w14:textId="77777777" w:rsidR="003F1FB9" w:rsidRPr="00873AC2" w:rsidRDefault="005E0532" w:rsidP="00B87F1C">
      <w:pPr>
        <w:rPr>
          <w:sz w:val="22"/>
          <w:szCs w:val="22"/>
        </w:rPr>
      </w:pPr>
      <w:r w:rsidRPr="00873AC2">
        <w:rPr>
          <w:i/>
          <w:iCs/>
          <w:sz w:val="22"/>
          <w:szCs w:val="22"/>
        </w:rPr>
        <w:t>Resumen del modelo de regresión: Flujo efectivo neto (Y4) en función del financiamiento externo (X1)</w:t>
      </w:r>
    </w:p>
    <w:tbl>
      <w:tblPr>
        <w:tblW w:w="87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200"/>
        <w:gridCol w:w="1200"/>
        <w:gridCol w:w="1600"/>
        <w:gridCol w:w="3584"/>
      </w:tblGrid>
      <w:tr w:rsidR="003F1FB9" w:rsidRPr="00873AC2" w14:paraId="1AE7EEA0" w14:textId="77777777" w:rsidTr="008F1F2D">
        <w:trPr>
          <w:tblHeader/>
        </w:trPr>
        <w:tc>
          <w:tcPr>
            <w:tcW w:w="1200" w:type="dxa"/>
            <w:shd w:val="clear" w:color="auto" w:fill="D9D9D9"/>
            <w:tcMar>
              <w:top w:w="60" w:type="dxa"/>
              <w:left w:w="80" w:type="dxa"/>
              <w:bottom w:w="60" w:type="dxa"/>
              <w:right w:w="80" w:type="dxa"/>
            </w:tcMar>
          </w:tcPr>
          <w:p w14:paraId="3C7811FB" w14:textId="77777777" w:rsidR="003F1FB9" w:rsidRPr="00873AC2" w:rsidRDefault="005E0532" w:rsidP="00873AC2">
            <w:pPr>
              <w:spacing w:line="360" w:lineRule="auto"/>
              <w:jc w:val="center"/>
              <w:rPr>
                <w:sz w:val="22"/>
                <w:szCs w:val="22"/>
              </w:rPr>
            </w:pPr>
            <w:r w:rsidRPr="00873AC2">
              <w:rPr>
                <w:b/>
                <w:bCs/>
                <w:sz w:val="22"/>
                <w:szCs w:val="22"/>
              </w:rPr>
              <w:t>Modelo</w:t>
            </w:r>
          </w:p>
        </w:tc>
        <w:tc>
          <w:tcPr>
            <w:tcW w:w="1200" w:type="dxa"/>
            <w:shd w:val="clear" w:color="auto" w:fill="D9D9D9"/>
            <w:tcMar>
              <w:top w:w="60" w:type="dxa"/>
              <w:left w:w="80" w:type="dxa"/>
              <w:bottom w:w="60" w:type="dxa"/>
              <w:right w:w="80" w:type="dxa"/>
            </w:tcMar>
          </w:tcPr>
          <w:p w14:paraId="6556A093" w14:textId="77777777" w:rsidR="003F1FB9" w:rsidRPr="00873AC2" w:rsidRDefault="005E0532" w:rsidP="00873AC2">
            <w:pPr>
              <w:spacing w:line="360" w:lineRule="auto"/>
              <w:jc w:val="center"/>
              <w:rPr>
                <w:sz w:val="22"/>
                <w:szCs w:val="22"/>
              </w:rPr>
            </w:pPr>
            <w:r w:rsidRPr="00873AC2">
              <w:rPr>
                <w:b/>
                <w:bCs/>
                <w:sz w:val="22"/>
                <w:szCs w:val="22"/>
              </w:rPr>
              <w:t>R</w:t>
            </w:r>
          </w:p>
        </w:tc>
        <w:tc>
          <w:tcPr>
            <w:tcW w:w="1200" w:type="dxa"/>
            <w:shd w:val="clear" w:color="auto" w:fill="D9D9D9"/>
            <w:tcMar>
              <w:top w:w="60" w:type="dxa"/>
              <w:left w:w="80" w:type="dxa"/>
              <w:bottom w:w="60" w:type="dxa"/>
              <w:right w:w="80" w:type="dxa"/>
            </w:tcMar>
          </w:tcPr>
          <w:p w14:paraId="475B11CD" w14:textId="77777777" w:rsidR="003F1FB9" w:rsidRPr="00873AC2" w:rsidRDefault="005E0532" w:rsidP="00873AC2">
            <w:pPr>
              <w:spacing w:line="360" w:lineRule="auto"/>
              <w:jc w:val="center"/>
              <w:rPr>
                <w:sz w:val="22"/>
                <w:szCs w:val="22"/>
              </w:rPr>
            </w:pPr>
            <w:r w:rsidRPr="00873AC2">
              <w:rPr>
                <w:b/>
                <w:bCs/>
                <w:sz w:val="22"/>
                <w:szCs w:val="22"/>
              </w:rPr>
              <w:t>R²</w:t>
            </w:r>
          </w:p>
        </w:tc>
        <w:tc>
          <w:tcPr>
            <w:tcW w:w="1600" w:type="dxa"/>
            <w:shd w:val="clear" w:color="auto" w:fill="D9D9D9"/>
            <w:tcMar>
              <w:top w:w="60" w:type="dxa"/>
              <w:left w:w="80" w:type="dxa"/>
              <w:bottom w:w="60" w:type="dxa"/>
              <w:right w:w="80" w:type="dxa"/>
            </w:tcMar>
          </w:tcPr>
          <w:p w14:paraId="0BC6BC9E" w14:textId="77777777" w:rsidR="003F1FB9" w:rsidRPr="00873AC2" w:rsidRDefault="005E0532" w:rsidP="00873AC2">
            <w:pPr>
              <w:spacing w:line="360" w:lineRule="auto"/>
              <w:jc w:val="center"/>
              <w:rPr>
                <w:sz w:val="22"/>
                <w:szCs w:val="22"/>
              </w:rPr>
            </w:pPr>
            <w:r w:rsidRPr="00873AC2">
              <w:rPr>
                <w:b/>
                <w:bCs/>
                <w:sz w:val="22"/>
                <w:szCs w:val="22"/>
              </w:rPr>
              <w:t>R² ajustado</w:t>
            </w:r>
          </w:p>
        </w:tc>
        <w:tc>
          <w:tcPr>
            <w:tcW w:w="3584" w:type="dxa"/>
            <w:shd w:val="clear" w:color="auto" w:fill="D9D9D9"/>
            <w:tcMar>
              <w:top w:w="60" w:type="dxa"/>
              <w:left w:w="80" w:type="dxa"/>
              <w:bottom w:w="60" w:type="dxa"/>
              <w:right w:w="80" w:type="dxa"/>
            </w:tcMar>
          </w:tcPr>
          <w:p w14:paraId="623EB663" w14:textId="77777777" w:rsidR="003F1FB9" w:rsidRPr="00873AC2" w:rsidRDefault="005E0532" w:rsidP="00873AC2">
            <w:pPr>
              <w:spacing w:line="360" w:lineRule="auto"/>
              <w:jc w:val="center"/>
              <w:rPr>
                <w:sz w:val="22"/>
                <w:szCs w:val="22"/>
              </w:rPr>
            </w:pPr>
            <w:r w:rsidRPr="00873AC2">
              <w:rPr>
                <w:b/>
                <w:bCs/>
                <w:sz w:val="22"/>
                <w:szCs w:val="22"/>
              </w:rPr>
              <w:t>Error estándar de la estimación</w:t>
            </w:r>
          </w:p>
        </w:tc>
      </w:tr>
      <w:tr w:rsidR="003F1FB9" w:rsidRPr="00873AC2" w14:paraId="4D344504" w14:textId="77777777" w:rsidTr="008F1F2D">
        <w:tc>
          <w:tcPr>
            <w:tcW w:w="1200" w:type="dxa"/>
            <w:tcMar>
              <w:top w:w="60" w:type="dxa"/>
              <w:left w:w="80" w:type="dxa"/>
              <w:bottom w:w="60" w:type="dxa"/>
              <w:right w:w="80" w:type="dxa"/>
            </w:tcMar>
          </w:tcPr>
          <w:p w14:paraId="4EBA30DD" w14:textId="77777777" w:rsidR="003F1FB9" w:rsidRPr="00873AC2" w:rsidRDefault="005E0532" w:rsidP="00873AC2">
            <w:pPr>
              <w:spacing w:line="360" w:lineRule="auto"/>
              <w:jc w:val="center"/>
              <w:rPr>
                <w:sz w:val="22"/>
                <w:szCs w:val="22"/>
              </w:rPr>
            </w:pPr>
            <w:r w:rsidRPr="00873AC2">
              <w:rPr>
                <w:sz w:val="22"/>
                <w:szCs w:val="22"/>
              </w:rPr>
              <w:t>1</w:t>
            </w:r>
          </w:p>
        </w:tc>
        <w:tc>
          <w:tcPr>
            <w:tcW w:w="1200" w:type="dxa"/>
            <w:tcMar>
              <w:top w:w="60" w:type="dxa"/>
              <w:left w:w="80" w:type="dxa"/>
              <w:bottom w:w="60" w:type="dxa"/>
              <w:right w:w="80" w:type="dxa"/>
            </w:tcMar>
          </w:tcPr>
          <w:p w14:paraId="57F165BA" w14:textId="77777777" w:rsidR="003F1FB9" w:rsidRPr="00873AC2" w:rsidRDefault="005E0532" w:rsidP="00873AC2">
            <w:pPr>
              <w:spacing w:line="360" w:lineRule="auto"/>
              <w:jc w:val="center"/>
              <w:rPr>
                <w:sz w:val="22"/>
                <w:szCs w:val="22"/>
              </w:rPr>
            </w:pPr>
            <w:r w:rsidRPr="00873AC2">
              <w:rPr>
                <w:sz w:val="22"/>
                <w:szCs w:val="22"/>
              </w:rPr>
              <w:t>0.143</w:t>
            </w:r>
          </w:p>
        </w:tc>
        <w:tc>
          <w:tcPr>
            <w:tcW w:w="1200" w:type="dxa"/>
            <w:tcMar>
              <w:top w:w="60" w:type="dxa"/>
              <w:left w:w="80" w:type="dxa"/>
              <w:bottom w:w="60" w:type="dxa"/>
              <w:right w:w="80" w:type="dxa"/>
            </w:tcMar>
          </w:tcPr>
          <w:p w14:paraId="62D8696F" w14:textId="77777777" w:rsidR="003F1FB9" w:rsidRPr="00873AC2" w:rsidRDefault="005E0532" w:rsidP="00873AC2">
            <w:pPr>
              <w:spacing w:line="360" w:lineRule="auto"/>
              <w:jc w:val="center"/>
              <w:rPr>
                <w:sz w:val="22"/>
                <w:szCs w:val="22"/>
              </w:rPr>
            </w:pPr>
            <w:r w:rsidRPr="00873AC2">
              <w:rPr>
                <w:sz w:val="22"/>
                <w:szCs w:val="22"/>
              </w:rPr>
              <w:t>0.020</w:t>
            </w:r>
          </w:p>
        </w:tc>
        <w:tc>
          <w:tcPr>
            <w:tcW w:w="1600" w:type="dxa"/>
            <w:tcMar>
              <w:top w:w="60" w:type="dxa"/>
              <w:left w:w="80" w:type="dxa"/>
              <w:bottom w:w="60" w:type="dxa"/>
              <w:right w:w="80" w:type="dxa"/>
            </w:tcMar>
          </w:tcPr>
          <w:p w14:paraId="2351B180" w14:textId="77777777" w:rsidR="003F1FB9" w:rsidRPr="00873AC2" w:rsidRDefault="005E0532" w:rsidP="00873AC2">
            <w:pPr>
              <w:spacing w:line="360" w:lineRule="auto"/>
              <w:jc w:val="center"/>
              <w:rPr>
                <w:sz w:val="22"/>
                <w:szCs w:val="22"/>
              </w:rPr>
            </w:pPr>
            <w:r w:rsidRPr="00873AC2">
              <w:rPr>
                <w:sz w:val="22"/>
                <w:szCs w:val="22"/>
              </w:rPr>
              <w:t>0.004</w:t>
            </w:r>
          </w:p>
        </w:tc>
        <w:tc>
          <w:tcPr>
            <w:tcW w:w="3584" w:type="dxa"/>
            <w:tcMar>
              <w:top w:w="60" w:type="dxa"/>
              <w:left w:w="80" w:type="dxa"/>
              <w:bottom w:w="60" w:type="dxa"/>
              <w:right w:w="80" w:type="dxa"/>
            </w:tcMar>
          </w:tcPr>
          <w:p w14:paraId="10133DBD" w14:textId="77777777" w:rsidR="003F1FB9" w:rsidRPr="00873AC2" w:rsidRDefault="005E0532" w:rsidP="00873AC2">
            <w:pPr>
              <w:spacing w:line="360" w:lineRule="auto"/>
              <w:jc w:val="center"/>
              <w:rPr>
                <w:sz w:val="22"/>
                <w:szCs w:val="22"/>
              </w:rPr>
            </w:pPr>
            <w:r w:rsidRPr="00873AC2">
              <w:rPr>
                <w:sz w:val="22"/>
                <w:szCs w:val="22"/>
              </w:rPr>
              <w:t>162,825.85</w:t>
            </w:r>
          </w:p>
        </w:tc>
      </w:tr>
    </w:tbl>
    <w:p w14:paraId="69487D9F" w14:textId="77777777" w:rsidR="003F1FB9" w:rsidRPr="00B87F1C" w:rsidRDefault="005E0532" w:rsidP="00873AC2">
      <w:pPr>
        <w:spacing w:line="360" w:lineRule="auto"/>
        <w:rPr>
          <w:sz w:val="18"/>
          <w:szCs w:val="18"/>
        </w:rPr>
      </w:pPr>
      <w:r w:rsidRPr="00B87F1C">
        <w:rPr>
          <w:i/>
          <w:iCs/>
          <w:sz w:val="18"/>
          <w:szCs w:val="18"/>
        </w:rPr>
        <w:t>Nota. Predictor: (Constante), Financiamiento externo X1.</w:t>
      </w:r>
    </w:p>
    <w:p w14:paraId="1D082E6E" w14:textId="77777777" w:rsidR="003F1FB9" w:rsidRPr="00873AC2" w:rsidRDefault="005E0532" w:rsidP="00B87F1C">
      <w:pPr>
        <w:rPr>
          <w:sz w:val="22"/>
          <w:szCs w:val="22"/>
        </w:rPr>
      </w:pPr>
      <w:r w:rsidRPr="00873AC2">
        <w:rPr>
          <w:b/>
          <w:bCs/>
          <w:sz w:val="22"/>
          <w:szCs w:val="22"/>
        </w:rPr>
        <w:t>Tabla 5</w:t>
      </w:r>
    </w:p>
    <w:p w14:paraId="5DE9FA7D" w14:textId="77777777" w:rsidR="003F1FB9" w:rsidRPr="00873AC2" w:rsidRDefault="005E0532" w:rsidP="00B87F1C">
      <w:pPr>
        <w:rPr>
          <w:sz w:val="22"/>
          <w:szCs w:val="22"/>
        </w:rPr>
      </w:pPr>
      <w:r w:rsidRPr="00873AC2">
        <w:rPr>
          <w:i/>
          <w:iCs/>
          <w:sz w:val="22"/>
          <w:szCs w:val="22"/>
        </w:rPr>
        <w:t>ANOVA del modelo Flujo efectivo neto (Y4) ~ Financiamiento externo (X1)</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2400"/>
        <w:gridCol w:w="700"/>
        <w:gridCol w:w="2200"/>
        <w:gridCol w:w="900"/>
        <w:gridCol w:w="800"/>
      </w:tblGrid>
      <w:tr w:rsidR="003F1FB9" w:rsidRPr="00873AC2" w14:paraId="55640DB9" w14:textId="77777777">
        <w:trPr>
          <w:tblHeader/>
        </w:trPr>
        <w:tc>
          <w:tcPr>
            <w:tcW w:w="1600" w:type="dxa"/>
            <w:shd w:val="clear" w:color="auto" w:fill="D9D9D9"/>
            <w:tcMar>
              <w:top w:w="60" w:type="dxa"/>
              <w:left w:w="80" w:type="dxa"/>
              <w:bottom w:w="60" w:type="dxa"/>
              <w:right w:w="80" w:type="dxa"/>
            </w:tcMar>
          </w:tcPr>
          <w:p w14:paraId="743B8704" w14:textId="77777777" w:rsidR="003F1FB9" w:rsidRPr="00873AC2" w:rsidRDefault="005E0532" w:rsidP="00873AC2">
            <w:pPr>
              <w:spacing w:line="360" w:lineRule="auto"/>
              <w:jc w:val="center"/>
              <w:rPr>
                <w:sz w:val="22"/>
                <w:szCs w:val="22"/>
              </w:rPr>
            </w:pPr>
            <w:r w:rsidRPr="00873AC2">
              <w:rPr>
                <w:b/>
                <w:bCs/>
                <w:sz w:val="22"/>
                <w:szCs w:val="22"/>
              </w:rPr>
              <w:t>Fuente</w:t>
            </w:r>
          </w:p>
        </w:tc>
        <w:tc>
          <w:tcPr>
            <w:tcW w:w="2400" w:type="dxa"/>
            <w:shd w:val="clear" w:color="auto" w:fill="D9D9D9"/>
            <w:tcMar>
              <w:top w:w="60" w:type="dxa"/>
              <w:left w:w="80" w:type="dxa"/>
              <w:bottom w:w="60" w:type="dxa"/>
              <w:right w:w="80" w:type="dxa"/>
            </w:tcMar>
          </w:tcPr>
          <w:p w14:paraId="2AB79D17" w14:textId="77777777" w:rsidR="003F1FB9" w:rsidRPr="00873AC2" w:rsidRDefault="005E0532" w:rsidP="00873AC2">
            <w:pPr>
              <w:spacing w:line="360" w:lineRule="auto"/>
              <w:jc w:val="center"/>
              <w:rPr>
                <w:sz w:val="22"/>
                <w:szCs w:val="22"/>
              </w:rPr>
            </w:pPr>
            <w:r w:rsidRPr="00873AC2">
              <w:rPr>
                <w:b/>
                <w:bCs/>
                <w:sz w:val="22"/>
                <w:szCs w:val="22"/>
              </w:rPr>
              <w:t>Suma de cuadrados</w:t>
            </w:r>
          </w:p>
        </w:tc>
        <w:tc>
          <w:tcPr>
            <w:tcW w:w="700" w:type="dxa"/>
            <w:shd w:val="clear" w:color="auto" w:fill="D9D9D9"/>
            <w:tcMar>
              <w:top w:w="60" w:type="dxa"/>
              <w:left w:w="80" w:type="dxa"/>
              <w:bottom w:w="60" w:type="dxa"/>
              <w:right w:w="80" w:type="dxa"/>
            </w:tcMar>
          </w:tcPr>
          <w:p w14:paraId="61123FEA" w14:textId="77777777" w:rsidR="003F1FB9" w:rsidRPr="00873AC2" w:rsidRDefault="005E0532" w:rsidP="00873AC2">
            <w:pPr>
              <w:spacing w:line="360" w:lineRule="auto"/>
              <w:jc w:val="center"/>
              <w:rPr>
                <w:sz w:val="22"/>
                <w:szCs w:val="22"/>
              </w:rPr>
            </w:pPr>
            <w:proofErr w:type="spellStart"/>
            <w:r w:rsidRPr="00873AC2">
              <w:rPr>
                <w:b/>
                <w:bCs/>
                <w:sz w:val="22"/>
                <w:szCs w:val="22"/>
              </w:rPr>
              <w:t>gl</w:t>
            </w:r>
            <w:proofErr w:type="spellEnd"/>
          </w:p>
        </w:tc>
        <w:tc>
          <w:tcPr>
            <w:tcW w:w="2200" w:type="dxa"/>
            <w:shd w:val="clear" w:color="auto" w:fill="D9D9D9"/>
            <w:tcMar>
              <w:top w:w="60" w:type="dxa"/>
              <w:left w:w="80" w:type="dxa"/>
              <w:bottom w:w="60" w:type="dxa"/>
              <w:right w:w="80" w:type="dxa"/>
            </w:tcMar>
          </w:tcPr>
          <w:p w14:paraId="142AD591" w14:textId="77777777" w:rsidR="003F1FB9" w:rsidRPr="00873AC2" w:rsidRDefault="005E0532" w:rsidP="00873AC2">
            <w:pPr>
              <w:spacing w:line="360" w:lineRule="auto"/>
              <w:jc w:val="center"/>
              <w:rPr>
                <w:sz w:val="22"/>
                <w:szCs w:val="22"/>
              </w:rPr>
            </w:pPr>
            <w:r w:rsidRPr="00873AC2">
              <w:rPr>
                <w:b/>
                <w:bCs/>
                <w:sz w:val="22"/>
                <w:szCs w:val="22"/>
              </w:rPr>
              <w:t>Media cuadrática</w:t>
            </w:r>
          </w:p>
        </w:tc>
        <w:tc>
          <w:tcPr>
            <w:tcW w:w="900" w:type="dxa"/>
            <w:shd w:val="clear" w:color="auto" w:fill="D9D9D9"/>
            <w:tcMar>
              <w:top w:w="60" w:type="dxa"/>
              <w:left w:w="80" w:type="dxa"/>
              <w:bottom w:w="60" w:type="dxa"/>
              <w:right w:w="80" w:type="dxa"/>
            </w:tcMar>
          </w:tcPr>
          <w:p w14:paraId="4A4FE22F" w14:textId="77777777" w:rsidR="003F1FB9" w:rsidRPr="00873AC2" w:rsidRDefault="005E0532" w:rsidP="00873AC2">
            <w:pPr>
              <w:spacing w:line="360" w:lineRule="auto"/>
              <w:jc w:val="center"/>
              <w:rPr>
                <w:sz w:val="22"/>
                <w:szCs w:val="22"/>
              </w:rPr>
            </w:pPr>
            <w:r w:rsidRPr="00873AC2">
              <w:rPr>
                <w:b/>
                <w:bCs/>
                <w:sz w:val="22"/>
                <w:szCs w:val="22"/>
              </w:rPr>
              <w:t>F</w:t>
            </w:r>
          </w:p>
        </w:tc>
        <w:tc>
          <w:tcPr>
            <w:tcW w:w="800" w:type="dxa"/>
            <w:shd w:val="clear" w:color="auto" w:fill="D9D9D9"/>
            <w:tcMar>
              <w:top w:w="60" w:type="dxa"/>
              <w:left w:w="80" w:type="dxa"/>
              <w:bottom w:w="60" w:type="dxa"/>
              <w:right w:w="80" w:type="dxa"/>
            </w:tcMar>
          </w:tcPr>
          <w:p w14:paraId="75A4FBFD" w14:textId="77777777" w:rsidR="003F1FB9" w:rsidRPr="00873AC2" w:rsidRDefault="005E0532" w:rsidP="00873AC2">
            <w:pPr>
              <w:spacing w:line="360" w:lineRule="auto"/>
              <w:jc w:val="center"/>
              <w:rPr>
                <w:sz w:val="22"/>
                <w:szCs w:val="22"/>
              </w:rPr>
            </w:pPr>
            <w:r w:rsidRPr="00873AC2">
              <w:rPr>
                <w:b/>
                <w:bCs/>
                <w:sz w:val="22"/>
                <w:szCs w:val="22"/>
              </w:rPr>
              <w:t>Sig.</w:t>
            </w:r>
          </w:p>
        </w:tc>
      </w:tr>
      <w:tr w:rsidR="003F1FB9" w:rsidRPr="00873AC2" w14:paraId="696DF25D" w14:textId="77777777">
        <w:tc>
          <w:tcPr>
            <w:tcW w:w="1600" w:type="dxa"/>
            <w:tcMar>
              <w:top w:w="60" w:type="dxa"/>
              <w:left w:w="80" w:type="dxa"/>
              <w:bottom w:w="60" w:type="dxa"/>
              <w:right w:w="80" w:type="dxa"/>
            </w:tcMar>
          </w:tcPr>
          <w:p w14:paraId="7A6F52F0" w14:textId="77777777" w:rsidR="003F1FB9" w:rsidRPr="00873AC2" w:rsidRDefault="005E0532" w:rsidP="00873AC2">
            <w:pPr>
              <w:spacing w:line="360" w:lineRule="auto"/>
              <w:jc w:val="center"/>
              <w:rPr>
                <w:sz w:val="22"/>
                <w:szCs w:val="22"/>
              </w:rPr>
            </w:pPr>
            <w:r w:rsidRPr="00873AC2">
              <w:rPr>
                <w:sz w:val="22"/>
                <w:szCs w:val="22"/>
              </w:rPr>
              <w:t>Regresión</w:t>
            </w:r>
          </w:p>
        </w:tc>
        <w:tc>
          <w:tcPr>
            <w:tcW w:w="2400" w:type="dxa"/>
            <w:tcMar>
              <w:top w:w="60" w:type="dxa"/>
              <w:left w:w="80" w:type="dxa"/>
              <w:bottom w:w="60" w:type="dxa"/>
              <w:right w:w="80" w:type="dxa"/>
            </w:tcMar>
          </w:tcPr>
          <w:p w14:paraId="1BCDAE23" w14:textId="77777777" w:rsidR="003F1FB9" w:rsidRPr="00873AC2" w:rsidRDefault="005E0532" w:rsidP="00873AC2">
            <w:pPr>
              <w:spacing w:line="360" w:lineRule="auto"/>
              <w:jc w:val="center"/>
              <w:rPr>
                <w:sz w:val="22"/>
                <w:szCs w:val="22"/>
              </w:rPr>
            </w:pPr>
            <w:r w:rsidRPr="00873AC2">
              <w:rPr>
                <w:sz w:val="22"/>
                <w:szCs w:val="22"/>
              </w:rPr>
              <w:t>32,116,784,382.25</w:t>
            </w:r>
          </w:p>
        </w:tc>
        <w:tc>
          <w:tcPr>
            <w:tcW w:w="700" w:type="dxa"/>
            <w:tcMar>
              <w:top w:w="60" w:type="dxa"/>
              <w:left w:w="80" w:type="dxa"/>
              <w:bottom w:w="60" w:type="dxa"/>
              <w:right w:w="80" w:type="dxa"/>
            </w:tcMar>
          </w:tcPr>
          <w:p w14:paraId="3C9E2C63" w14:textId="77777777" w:rsidR="003F1FB9" w:rsidRPr="00873AC2" w:rsidRDefault="005E0532" w:rsidP="00873AC2">
            <w:pPr>
              <w:spacing w:line="360" w:lineRule="auto"/>
              <w:jc w:val="center"/>
              <w:rPr>
                <w:sz w:val="22"/>
                <w:szCs w:val="22"/>
              </w:rPr>
            </w:pPr>
            <w:r w:rsidRPr="00873AC2">
              <w:rPr>
                <w:sz w:val="22"/>
                <w:szCs w:val="22"/>
              </w:rPr>
              <w:t>1</w:t>
            </w:r>
          </w:p>
        </w:tc>
        <w:tc>
          <w:tcPr>
            <w:tcW w:w="2200" w:type="dxa"/>
            <w:tcMar>
              <w:top w:w="60" w:type="dxa"/>
              <w:left w:w="80" w:type="dxa"/>
              <w:bottom w:w="60" w:type="dxa"/>
              <w:right w:w="80" w:type="dxa"/>
            </w:tcMar>
          </w:tcPr>
          <w:p w14:paraId="1B19AA3C" w14:textId="77777777" w:rsidR="003F1FB9" w:rsidRPr="00873AC2" w:rsidRDefault="005E0532" w:rsidP="00873AC2">
            <w:pPr>
              <w:spacing w:line="360" w:lineRule="auto"/>
              <w:jc w:val="center"/>
              <w:rPr>
                <w:sz w:val="22"/>
                <w:szCs w:val="22"/>
              </w:rPr>
            </w:pPr>
            <w:r w:rsidRPr="00873AC2">
              <w:rPr>
                <w:sz w:val="22"/>
                <w:szCs w:val="22"/>
              </w:rPr>
              <w:t>32,116,784,382.25</w:t>
            </w:r>
          </w:p>
        </w:tc>
        <w:tc>
          <w:tcPr>
            <w:tcW w:w="900" w:type="dxa"/>
            <w:tcMar>
              <w:top w:w="60" w:type="dxa"/>
              <w:left w:w="80" w:type="dxa"/>
              <w:bottom w:w="60" w:type="dxa"/>
              <w:right w:w="80" w:type="dxa"/>
            </w:tcMar>
          </w:tcPr>
          <w:p w14:paraId="42A47239" w14:textId="77777777" w:rsidR="003F1FB9" w:rsidRPr="00873AC2" w:rsidRDefault="005E0532" w:rsidP="00873AC2">
            <w:pPr>
              <w:spacing w:line="360" w:lineRule="auto"/>
              <w:jc w:val="center"/>
              <w:rPr>
                <w:sz w:val="22"/>
                <w:szCs w:val="22"/>
              </w:rPr>
            </w:pPr>
            <w:r w:rsidRPr="00873AC2">
              <w:rPr>
                <w:sz w:val="22"/>
                <w:szCs w:val="22"/>
              </w:rPr>
              <w:t>1.211</w:t>
            </w:r>
          </w:p>
        </w:tc>
        <w:tc>
          <w:tcPr>
            <w:tcW w:w="800" w:type="dxa"/>
            <w:tcMar>
              <w:top w:w="60" w:type="dxa"/>
              <w:left w:w="80" w:type="dxa"/>
              <w:bottom w:w="60" w:type="dxa"/>
              <w:right w:w="80" w:type="dxa"/>
            </w:tcMar>
          </w:tcPr>
          <w:p w14:paraId="39BED7EA" w14:textId="77777777" w:rsidR="003F1FB9" w:rsidRPr="00873AC2" w:rsidRDefault="005E0532" w:rsidP="00873AC2">
            <w:pPr>
              <w:spacing w:line="360" w:lineRule="auto"/>
              <w:jc w:val="center"/>
              <w:rPr>
                <w:sz w:val="22"/>
                <w:szCs w:val="22"/>
              </w:rPr>
            </w:pPr>
            <w:r w:rsidRPr="00873AC2">
              <w:rPr>
                <w:sz w:val="22"/>
                <w:szCs w:val="22"/>
              </w:rPr>
              <w:t>0.276</w:t>
            </w:r>
          </w:p>
        </w:tc>
      </w:tr>
      <w:tr w:rsidR="003F1FB9" w:rsidRPr="00873AC2" w14:paraId="539F6917" w14:textId="77777777">
        <w:tc>
          <w:tcPr>
            <w:tcW w:w="1600" w:type="dxa"/>
            <w:tcMar>
              <w:top w:w="60" w:type="dxa"/>
              <w:left w:w="80" w:type="dxa"/>
              <w:bottom w:w="60" w:type="dxa"/>
              <w:right w:w="80" w:type="dxa"/>
            </w:tcMar>
          </w:tcPr>
          <w:p w14:paraId="39F7C921" w14:textId="77777777" w:rsidR="003F1FB9" w:rsidRPr="00873AC2" w:rsidRDefault="005E0532" w:rsidP="00873AC2">
            <w:pPr>
              <w:spacing w:line="360" w:lineRule="auto"/>
              <w:jc w:val="center"/>
              <w:rPr>
                <w:sz w:val="22"/>
                <w:szCs w:val="22"/>
              </w:rPr>
            </w:pPr>
            <w:r w:rsidRPr="00873AC2">
              <w:rPr>
                <w:sz w:val="22"/>
                <w:szCs w:val="22"/>
              </w:rPr>
              <w:t>Residual</w:t>
            </w:r>
          </w:p>
        </w:tc>
        <w:tc>
          <w:tcPr>
            <w:tcW w:w="2400" w:type="dxa"/>
            <w:tcMar>
              <w:top w:w="60" w:type="dxa"/>
              <w:left w:w="80" w:type="dxa"/>
              <w:bottom w:w="60" w:type="dxa"/>
              <w:right w:w="80" w:type="dxa"/>
            </w:tcMar>
          </w:tcPr>
          <w:p w14:paraId="71EBCDAD" w14:textId="77777777" w:rsidR="003F1FB9" w:rsidRPr="00873AC2" w:rsidRDefault="005E0532" w:rsidP="00873AC2">
            <w:pPr>
              <w:spacing w:line="360" w:lineRule="auto"/>
              <w:jc w:val="center"/>
              <w:rPr>
                <w:sz w:val="22"/>
                <w:szCs w:val="22"/>
              </w:rPr>
            </w:pPr>
            <w:r w:rsidRPr="00873AC2">
              <w:rPr>
                <w:sz w:val="22"/>
                <w:szCs w:val="22"/>
              </w:rPr>
              <w:t>1,537,710,884,335.32</w:t>
            </w:r>
          </w:p>
        </w:tc>
        <w:tc>
          <w:tcPr>
            <w:tcW w:w="700" w:type="dxa"/>
            <w:tcMar>
              <w:top w:w="60" w:type="dxa"/>
              <w:left w:w="80" w:type="dxa"/>
              <w:bottom w:w="60" w:type="dxa"/>
              <w:right w:w="80" w:type="dxa"/>
            </w:tcMar>
          </w:tcPr>
          <w:p w14:paraId="7E3E6C1E" w14:textId="77777777" w:rsidR="003F1FB9" w:rsidRPr="00873AC2" w:rsidRDefault="005E0532" w:rsidP="00873AC2">
            <w:pPr>
              <w:spacing w:line="360" w:lineRule="auto"/>
              <w:jc w:val="center"/>
              <w:rPr>
                <w:sz w:val="22"/>
                <w:szCs w:val="22"/>
              </w:rPr>
            </w:pPr>
            <w:r w:rsidRPr="00873AC2">
              <w:rPr>
                <w:sz w:val="22"/>
                <w:szCs w:val="22"/>
              </w:rPr>
              <w:t>58</w:t>
            </w:r>
          </w:p>
        </w:tc>
        <w:tc>
          <w:tcPr>
            <w:tcW w:w="2200" w:type="dxa"/>
            <w:tcMar>
              <w:top w:w="60" w:type="dxa"/>
              <w:left w:w="80" w:type="dxa"/>
              <w:bottom w:w="60" w:type="dxa"/>
              <w:right w:w="80" w:type="dxa"/>
            </w:tcMar>
          </w:tcPr>
          <w:p w14:paraId="3BC6A7EB" w14:textId="77777777" w:rsidR="003F1FB9" w:rsidRPr="00873AC2" w:rsidRDefault="005E0532" w:rsidP="00873AC2">
            <w:pPr>
              <w:spacing w:line="360" w:lineRule="auto"/>
              <w:jc w:val="center"/>
              <w:rPr>
                <w:sz w:val="22"/>
                <w:szCs w:val="22"/>
              </w:rPr>
            </w:pPr>
            <w:r w:rsidRPr="00873AC2">
              <w:rPr>
                <w:sz w:val="22"/>
                <w:szCs w:val="22"/>
              </w:rPr>
              <w:t>26,512,256,626.47</w:t>
            </w:r>
          </w:p>
        </w:tc>
        <w:tc>
          <w:tcPr>
            <w:tcW w:w="900" w:type="dxa"/>
            <w:tcMar>
              <w:top w:w="60" w:type="dxa"/>
              <w:left w:w="80" w:type="dxa"/>
              <w:bottom w:w="60" w:type="dxa"/>
              <w:right w:w="80" w:type="dxa"/>
            </w:tcMar>
          </w:tcPr>
          <w:p w14:paraId="4F24C74D" w14:textId="77777777" w:rsidR="003F1FB9" w:rsidRPr="00873AC2" w:rsidRDefault="003F1FB9" w:rsidP="00873AC2">
            <w:pPr>
              <w:spacing w:line="360" w:lineRule="auto"/>
              <w:jc w:val="center"/>
              <w:rPr>
                <w:sz w:val="22"/>
                <w:szCs w:val="22"/>
              </w:rPr>
            </w:pPr>
          </w:p>
        </w:tc>
        <w:tc>
          <w:tcPr>
            <w:tcW w:w="800" w:type="dxa"/>
            <w:tcMar>
              <w:top w:w="60" w:type="dxa"/>
              <w:left w:w="80" w:type="dxa"/>
              <w:bottom w:w="60" w:type="dxa"/>
              <w:right w:w="80" w:type="dxa"/>
            </w:tcMar>
          </w:tcPr>
          <w:p w14:paraId="50FEA226" w14:textId="77777777" w:rsidR="003F1FB9" w:rsidRPr="00873AC2" w:rsidRDefault="003F1FB9" w:rsidP="00873AC2">
            <w:pPr>
              <w:spacing w:line="360" w:lineRule="auto"/>
              <w:jc w:val="center"/>
              <w:rPr>
                <w:sz w:val="22"/>
                <w:szCs w:val="22"/>
              </w:rPr>
            </w:pPr>
          </w:p>
        </w:tc>
      </w:tr>
      <w:tr w:rsidR="003F1FB9" w:rsidRPr="00873AC2" w14:paraId="22B28168" w14:textId="77777777">
        <w:tc>
          <w:tcPr>
            <w:tcW w:w="1600" w:type="dxa"/>
            <w:tcMar>
              <w:top w:w="60" w:type="dxa"/>
              <w:left w:w="80" w:type="dxa"/>
              <w:bottom w:w="60" w:type="dxa"/>
              <w:right w:w="80" w:type="dxa"/>
            </w:tcMar>
          </w:tcPr>
          <w:p w14:paraId="258F76AB" w14:textId="77777777" w:rsidR="003F1FB9" w:rsidRPr="00873AC2" w:rsidRDefault="005E0532" w:rsidP="00873AC2">
            <w:pPr>
              <w:spacing w:line="360" w:lineRule="auto"/>
              <w:jc w:val="center"/>
              <w:rPr>
                <w:sz w:val="22"/>
                <w:szCs w:val="22"/>
              </w:rPr>
            </w:pPr>
            <w:r w:rsidRPr="00873AC2">
              <w:rPr>
                <w:sz w:val="22"/>
                <w:szCs w:val="22"/>
              </w:rPr>
              <w:t>Total</w:t>
            </w:r>
          </w:p>
        </w:tc>
        <w:tc>
          <w:tcPr>
            <w:tcW w:w="2400" w:type="dxa"/>
            <w:tcMar>
              <w:top w:w="60" w:type="dxa"/>
              <w:left w:w="80" w:type="dxa"/>
              <w:bottom w:w="60" w:type="dxa"/>
              <w:right w:w="80" w:type="dxa"/>
            </w:tcMar>
          </w:tcPr>
          <w:p w14:paraId="0BC83366" w14:textId="77777777" w:rsidR="003F1FB9" w:rsidRPr="00873AC2" w:rsidRDefault="005E0532" w:rsidP="00873AC2">
            <w:pPr>
              <w:spacing w:line="360" w:lineRule="auto"/>
              <w:jc w:val="center"/>
              <w:rPr>
                <w:sz w:val="22"/>
                <w:szCs w:val="22"/>
              </w:rPr>
            </w:pPr>
            <w:r w:rsidRPr="00873AC2">
              <w:rPr>
                <w:sz w:val="22"/>
                <w:szCs w:val="22"/>
              </w:rPr>
              <w:t>1,569,827,668,717.56</w:t>
            </w:r>
          </w:p>
        </w:tc>
        <w:tc>
          <w:tcPr>
            <w:tcW w:w="700" w:type="dxa"/>
            <w:tcMar>
              <w:top w:w="60" w:type="dxa"/>
              <w:left w:w="80" w:type="dxa"/>
              <w:bottom w:w="60" w:type="dxa"/>
              <w:right w:w="80" w:type="dxa"/>
            </w:tcMar>
          </w:tcPr>
          <w:p w14:paraId="1A688927" w14:textId="77777777" w:rsidR="003F1FB9" w:rsidRPr="00873AC2" w:rsidRDefault="005E0532" w:rsidP="00873AC2">
            <w:pPr>
              <w:spacing w:line="360" w:lineRule="auto"/>
              <w:jc w:val="center"/>
              <w:rPr>
                <w:sz w:val="22"/>
                <w:szCs w:val="22"/>
              </w:rPr>
            </w:pPr>
            <w:r w:rsidRPr="00873AC2">
              <w:rPr>
                <w:sz w:val="22"/>
                <w:szCs w:val="22"/>
              </w:rPr>
              <w:t>59</w:t>
            </w:r>
          </w:p>
        </w:tc>
        <w:tc>
          <w:tcPr>
            <w:tcW w:w="2200" w:type="dxa"/>
            <w:tcMar>
              <w:top w:w="60" w:type="dxa"/>
              <w:left w:w="80" w:type="dxa"/>
              <w:bottom w:w="60" w:type="dxa"/>
              <w:right w:w="80" w:type="dxa"/>
            </w:tcMar>
          </w:tcPr>
          <w:p w14:paraId="37626061" w14:textId="77777777" w:rsidR="003F1FB9" w:rsidRPr="00873AC2" w:rsidRDefault="003F1FB9" w:rsidP="00873AC2">
            <w:pPr>
              <w:spacing w:line="360" w:lineRule="auto"/>
              <w:jc w:val="center"/>
              <w:rPr>
                <w:sz w:val="22"/>
                <w:szCs w:val="22"/>
              </w:rPr>
            </w:pPr>
          </w:p>
        </w:tc>
        <w:tc>
          <w:tcPr>
            <w:tcW w:w="900" w:type="dxa"/>
            <w:tcMar>
              <w:top w:w="60" w:type="dxa"/>
              <w:left w:w="80" w:type="dxa"/>
              <w:bottom w:w="60" w:type="dxa"/>
              <w:right w:w="80" w:type="dxa"/>
            </w:tcMar>
          </w:tcPr>
          <w:p w14:paraId="54184074" w14:textId="77777777" w:rsidR="003F1FB9" w:rsidRPr="00873AC2" w:rsidRDefault="003F1FB9" w:rsidP="00873AC2">
            <w:pPr>
              <w:spacing w:line="360" w:lineRule="auto"/>
              <w:jc w:val="center"/>
              <w:rPr>
                <w:sz w:val="22"/>
                <w:szCs w:val="22"/>
              </w:rPr>
            </w:pPr>
          </w:p>
        </w:tc>
        <w:tc>
          <w:tcPr>
            <w:tcW w:w="800" w:type="dxa"/>
            <w:tcMar>
              <w:top w:w="60" w:type="dxa"/>
              <w:left w:w="80" w:type="dxa"/>
              <w:bottom w:w="60" w:type="dxa"/>
              <w:right w:w="80" w:type="dxa"/>
            </w:tcMar>
          </w:tcPr>
          <w:p w14:paraId="416D8C77" w14:textId="77777777" w:rsidR="003F1FB9" w:rsidRPr="00873AC2" w:rsidRDefault="003F1FB9" w:rsidP="00873AC2">
            <w:pPr>
              <w:spacing w:line="360" w:lineRule="auto"/>
              <w:jc w:val="center"/>
              <w:rPr>
                <w:sz w:val="22"/>
                <w:szCs w:val="22"/>
              </w:rPr>
            </w:pPr>
          </w:p>
        </w:tc>
      </w:tr>
    </w:tbl>
    <w:p w14:paraId="1C0746C9" w14:textId="77777777" w:rsidR="008F1F2D" w:rsidRDefault="008F1F2D">
      <w:pPr>
        <w:rPr>
          <w:b/>
          <w:bCs/>
          <w:sz w:val="22"/>
          <w:szCs w:val="22"/>
        </w:rPr>
      </w:pPr>
      <w:r>
        <w:rPr>
          <w:b/>
          <w:bCs/>
          <w:sz w:val="22"/>
          <w:szCs w:val="22"/>
        </w:rPr>
        <w:br w:type="page"/>
      </w:r>
    </w:p>
    <w:p w14:paraId="351B33E5" w14:textId="594DE2EB" w:rsidR="003F1FB9" w:rsidRPr="00873AC2" w:rsidRDefault="005E0532" w:rsidP="00B87F1C">
      <w:pPr>
        <w:rPr>
          <w:sz w:val="22"/>
          <w:szCs w:val="22"/>
        </w:rPr>
      </w:pPr>
      <w:r w:rsidRPr="00873AC2">
        <w:rPr>
          <w:b/>
          <w:bCs/>
          <w:sz w:val="22"/>
          <w:szCs w:val="22"/>
        </w:rPr>
        <w:lastRenderedPageBreak/>
        <w:t>Tabla 6</w:t>
      </w:r>
    </w:p>
    <w:p w14:paraId="6FA2AC1C" w14:textId="77777777" w:rsidR="003F1FB9" w:rsidRPr="00873AC2" w:rsidRDefault="005E0532" w:rsidP="00B87F1C">
      <w:pPr>
        <w:rPr>
          <w:sz w:val="22"/>
          <w:szCs w:val="22"/>
        </w:rPr>
      </w:pPr>
      <w:r w:rsidRPr="00873AC2">
        <w:rPr>
          <w:i/>
          <w:iCs/>
          <w:sz w:val="22"/>
          <w:szCs w:val="22"/>
        </w:rPr>
        <w:t>Coeficientes del modelo Flujo efectivo neto (Y4) ~ Financiamiento externo (X1)</w:t>
      </w:r>
    </w:p>
    <w:tbl>
      <w:tblP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38"/>
        <w:gridCol w:w="1276"/>
        <w:gridCol w:w="1701"/>
        <w:gridCol w:w="2126"/>
        <w:gridCol w:w="900"/>
        <w:gridCol w:w="900"/>
      </w:tblGrid>
      <w:tr w:rsidR="003F1FB9" w:rsidRPr="00873AC2" w14:paraId="21C9260C" w14:textId="77777777" w:rsidTr="008F1F2D">
        <w:trPr>
          <w:tblHeader/>
        </w:trPr>
        <w:tc>
          <w:tcPr>
            <w:tcW w:w="1838" w:type="dxa"/>
            <w:shd w:val="clear" w:color="auto" w:fill="D9D9D9"/>
            <w:tcMar>
              <w:top w:w="60" w:type="dxa"/>
              <w:left w:w="80" w:type="dxa"/>
              <w:bottom w:w="60" w:type="dxa"/>
              <w:right w:w="80" w:type="dxa"/>
            </w:tcMar>
          </w:tcPr>
          <w:p w14:paraId="4EB198CB" w14:textId="77777777" w:rsidR="003F1FB9" w:rsidRPr="00873AC2" w:rsidRDefault="005E0532" w:rsidP="00873AC2">
            <w:pPr>
              <w:spacing w:line="360" w:lineRule="auto"/>
              <w:jc w:val="center"/>
              <w:rPr>
                <w:sz w:val="22"/>
                <w:szCs w:val="22"/>
              </w:rPr>
            </w:pPr>
            <w:r w:rsidRPr="00873AC2">
              <w:rPr>
                <w:b/>
                <w:bCs/>
                <w:sz w:val="22"/>
                <w:szCs w:val="22"/>
              </w:rPr>
              <w:t>Variable</w:t>
            </w:r>
          </w:p>
        </w:tc>
        <w:tc>
          <w:tcPr>
            <w:tcW w:w="1276" w:type="dxa"/>
            <w:shd w:val="clear" w:color="auto" w:fill="D9D9D9"/>
            <w:tcMar>
              <w:top w:w="60" w:type="dxa"/>
              <w:left w:w="80" w:type="dxa"/>
              <w:bottom w:w="60" w:type="dxa"/>
              <w:right w:w="80" w:type="dxa"/>
            </w:tcMar>
          </w:tcPr>
          <w:p w14:paraId="0E3F8FDF" w14:textId="77777777" w:rsidR="003F1FB9" w:rsidRPr="00873AC2" w:rsidRDefault="005E0532" w:rsidP="00873AC2">
            <w:pPr>
              <w:spacing w:line="360" w:lineRule="auto"/>
              <w:jc w:val="center"/>
              <w:rPr>
                <w:sz w:val="22"/>
                <w:szCs w:val="22"/>
              </w:rPr>
            </w:pPr>
            <w:r w:rsidRPr="00873AC2">
              <w:rPr>
                <w:b/>
                <w:bCs/>
                <w:sz w:val="22"/>
                <w:szCs w:val="22"/>
              </w:rPr>
              <w:t>B</w:t>
            </w:r>
          </w:p>
        </w:tc>
        <w:tc>
          <w:tcPr>
            <w:tcW w:w="1701" w:type="dxa"/>
            <w:shd w:val="clear" w:color="auto" w:fill="D9D9D9"/>
            <w:tcMar>
              <w:top w:w="60" w:type="dxa"/>
              <w:left w:w="80" w:type="dxa"/>
              <w:bottom w:w="60" w:type="dxa"/>
              <w:right w:w="80" w:type="dxa"/>
            </w:tcMar>
          </w:tcPr>
          <w:p w14:paraId="377F159C" w14:textId="77777777" w:rsidR="003F1FB9" w:rsidRPr="00873AC2" w:rsidRDefault="005E0532" w:rsidP="00873AC2">
            <w:pPr>
              <w:spacing w:line="360" w:lineRule="auto"/>
              <w:jc w:val="center"/>
              <w:rPr>
                <w:sz w:val="22"/>
                <w:szCs w:val="22"/>
              </w:rPr>
            </w:pPr>
            <w:r w:rsidRPr="00873AC2">
              <w:rPr>
                <w:b/>
                <w:bCs/>
                <w:sz w:val="22"/>
                <w:szCs w:val="22"/>
              </w:rPr>
              <w:t>Error estándar</w:t>
            </w:r>
          </w:p>
        </w:tc>
        <w:tc>
          <w:tcPr>
            <w:tcW w:w="2126" w:type="dxa"/>
            <w:shd w:val="clear" w:color="auto" w:fill="D9D9D9"/>
            <w:tcMar>
              <w:top w:w="60" w:type="dxa"/>
              <w:left w:w="80" w:type="dxa"/>
              <w:bottom w:w="60" w:type="dxa"/>
              <w:right w:w="80" w:type="dxa"/>
            </w:tcMar>
          </w:tcPr>
          <w:p w14:paraId="216CD2F9" w14:textId="77777777" w:rsidR="003F1FB9" w:rsidRPr="00873AC2" w:rsidRDefault="005E0532" w:rsidP="00873AC2">
            <w:pPr>
              <w:spacing w:line="360" w:lineRule="auto"/>
              <w:jc w:val="center"/>
              <w:rPr>
                <w:sz w:val="22"/>
                <w:szCs w:val="22"/>
              </w:rPr>
            </w:pPr>
            <w:r w:rsidRPr="00873AC2">
              <w:rPr>
                <w:b/>
                <w:bCs/>
                <w:sz w:val="22"/>
                <w:szCs w:val="22"/>
              </w:rPr>
              <w:t>Beta estandarizada</w:t>
            </w:r>
          </w:p>
        </w:tc>
        <w:tc>
          <w:tcPr>
            <w:tcW w:w="900" w:type="dxa"/>
            <w:shd w:val="clear" w:color="auto" w:fill="D9D9D9"/>
            <w:tcMar>
              <w:top w:w="60" w:type="dxa"/>
              <w:left w:w="80" w:type="dxa"/>
              <w:bottom w:w="60" w:type="dxa"/>
              <w:right w:w="80" w:type="dxa"/>
            </w:tcMar>
          </w:tcPr>
          <w:p w14:paraId="66E65101" w14:textId="77777777" w:rsidR="003F1FB9" w:rsidRPr="00873AC2" w:rsidRDefault="005E0532" w:rsidP="00873AC2">
            <w:pPr>
              <w:spacing w:line="360" w:lineRule="auto"/>
              <w:jc w:val="center"/>
              <w:rPr>
                <w:sz w:val="22"/>
                <w:szCs w:val="22"/>
              </w:rPr>
            </w:pPr>
            <w:r w:rsidRPr="00873AC2">
              <w:rPr>
                <w:b/>
                <w:bCs/>
                <w:sz w:val="22"/>
                <w:szCs w:val="22"/>
              </w:rPr>
              <w:t>t</w:t>
            </w:r>
          </w:p>
        </w:tc>
        <w:tc>
          <w:tcPr>
            <w:tcW w:w="900" w:type="dxa"/>
            <w:shd w:val="clear" w:color="auto" w:fill="D9D9D9"/>
            <w:tcMar>
              <w:top w:w="60" w:type="dxa"/>
              <w:left w:w="80" w:type="dxa"/>
              <w:bottom w:w="60" w:type="dxa"/>
              <w:right w:w="80" w:type="dxa"/>
            </w:tcMar>
          </w:tcPr>
          <w:p w14:paraId="2CBE7632" w14:textId="77777777" w:rsidR="003F1FB9" w:rsidRPr="00873AC2" w:rsidRDefault="005E0532" w:rsidP="00873AC2">
            <w:pPr>
              <w:spacing w:line="360" w:lineRule="auto"/>
              <w:jc w:val="center"/>
              <w:rPr>
                <w:sz w:val="22"/>
                <w:szCs w:val="22"/>
              </w:rPr>
            </w:pPr>
            <w:r w:rsidRPr="00873AC2">
              <w:rPr>
                <w:b/>
                <w:bCs/>
                <w:sz w:val="22"/>
                <w:szCs w:val="22"/>
              </w:rPr>
              <w:t>Sig.</w:t>
            </w:r>
          </w:p>
        </w:tc>
      </w:tr>
      <w:tr w:rsidR="003F1FB9" w:rsidRPr="00873AC2" w14:paraId="71980627" w14:textId="77777777" w:rsidTr="008F1F2D">
        <w:tc>
          <w:tcPr>
            <w:tcW w:w="1838" w:type="dxa"/>
            <w:tcMar>
              <w:top w:w="60" w:type="dxa"/>
              <w:left w:w="80" w:type="dxa"/>
              <w:bottom w:w="60" w:type="dxa"/>
              <w:right w:w="80" w:type="dxa"/>
            </w:tcMar>
          </w:tcPr>
          <w:p w14:paraId="3CC55195" w14:textId="77777777" w:rsidR="003F1FB9" w:rsidRPr="00873AC2" w:rsidRDefault="005E0532" w:rsidP="00873AC2">
            <w:pPr>
              <w:spacing w:line="360" w:lineRule="auto"/>
              <w:jc w:val="center"/>
              <w:rPr>
                <w:sz w:val="22"/>
                <w:szCs w:val="22"/>
              </w:rPr>
            </w:pPr>
            <w:r w:rsidRPr="00873AC2">
              <w:rPr>
                <w:sz w:val="22"/>
                <w:szCs w:val="22"/>
              </w:rPr>
              <w:t>Constante</w:t>
            </w:r>
          </w:p>
        </w:tc>
        <w:tc>
          <w:tcPr>
            <w:tcW w:w="1276" w:type="dxa"/>
            <w:tcMar>
              <w:top w:w="60" w:type="dxa"/>
              <w:left w:w="80" w:type="dxa"/>
              <w:bottom w:w="60" w:type="dxa"/>
              <w:right w:w="80" w:type="dxa"/>
            </w:tcMar>
          </w:tcPr>
          <w:p w14:paraId="78D795F2" w14:textId="77777777" w:rsidR="003F1FB9" w:rsidRPr="00873AC2" w:rsidRDefault="005E0532" w:rsidP="00873AC2">
            <w:pPr>
              <w:spacing w:line="360" w:lineRule="auto"/>
              <w:jc w:val="center"/>
              <w:rPr>
                <w:sz w:val="22"/>
                <w:szCs w:val="22"/>
              </w:rPr>
            </w:pPr>
            <w:r w:rsidRPr="00873AC2">
              <w:rPr>
                <w:sz w:val="22"/>
                <w:szCs w:val="22"/>
              </w:rPr>
              <w:t>–11,365.47</w:t>
            </w:r>
          </w:p>
        </w:tc>
        <w:tc>
          <w:tcPr>
            <w:tcW w:w="1701" w:type="dxa"/>
            <w:tcMar>
              <w:top w:w="60" w:type="dxa"/>
              <w:left w:w="80" w:type="dxa"/>
              <w:bottom w:w="60" w:type="dxa"/>
              <w:right w:w="80" w:type="dxa"/>
            </w:tcMar>
          </w:tcPr>
          <w:p w14:paraId="01A0566F" w14:textId="77777777" w:rsidR="003F1FB9" w:rsidRPr="00873AC2" w:rsidRDefault="005E0532" w:rsidP="00873AC2">
            <w:pPr>
              <w:spacing w:line="360" w:lineRule="auto"/>
              <w:jc w:val="center"/>
              <w:rPr>
                <w:sz w:val="22"/>
                <w:szCs w:val="22"/>
              </w:rPr>
            </w:pPr>
            <w:r w:rsidRPr="00873AC2">
              <w:rPr>
                <w:sz w:val="22"/>
                <w:szCs w:val="22"/>
              </w:rPr>
              <w:t>22,561.65</w:t>
            </w:r>
          </w:p>
        </w:tc>
        <w:tc>
          <w:tcPr>
            <w:tcW w:w="2126" w:type="dxa"/>
            <w:tcMar>
              <w:top w:w="60" w:type="dxa"/>
              <w:left w:w="80" w:type="dxa"/>
              <w:bottom w:w="60" w:type="dxa"/>
              <w:right w:w="80" w:type="dxa"/>
            </w:tcMar>
          </w:tcPr>
          <w:p w14:paraId="7F209AFD" w14:textId="77777777" w:rsidR="003F1FB9" w:rsidRPr="00873AC2" w:rsidRDefault="005E0532" w:rsidP="00873AC2">
            <w:pPr>
              <w:spacing w:line="360" w:lineRule="auto"/>
              <w:jc w:val="center"/>
              <w:rPr>
                <w:sz w:val="22"/>
                <w:szCs w:val="22"/>
              </w:rPr>
            </w:pPr>
            <w:r w:rsidRPr="00873AC2">
              <w:rPr>
                <w:sz w:val="22"/>
                <w:szCs w:val="22"/>
              </w:rPr>
              <w:t>—</w:t>
            </w:r>
          </w:p>
        </w:tc>
        <w:tc>
          <w:tcPr>
            <w:tcW w:w="900" w:type="dxa"/>
            <w:tcMar>
              <w:top w:w="60" w:type="dxa"/>
              <w:left w:w="80" w:type="dxa"/>
              <w:bottom w:w="60" w:type="dxa"/>
              <w:right w:w="80" w:type="dxa"/>
            </w:tcMar>
          </w:tcPr>
          <w:p w14:paraId="20E6E4BC" w14:textId="77777777" w:rsidR="003F1FB9" w:rsidRPr="00873AC2" w:rsidRDefault="005E0532" w:rsidP="00873AC2">
            <w:pPr>
              <w:spacing w:line="360" w:lineRule="auto"/>
              <w:jc w:val="center"/>
              <w:rPr>
                <w:sz w:val="22"/>
                <w:szCs w:val="22"/>
              </w:rPr>
            </w:pPr>
            <w:r w:rsidRPr="00873AC2">
              <w:rPr>
                <w:sz w:val="22"/>
                <w:szCs w:val="22"/>
              </w:rPr>
              <w:t>–0.504</w:t>
            </w:r>
          </w:p>
        </w:tc>
        <w:tc>
          <w:tcPr>
            <w:tcW w:w="900" w:type="dxa"/>
            <w:tcMar>
              <w:top w:w="60" w:type="dxa"/>
              <w:left w:w="80" w:type="dxa"/>
              <w:bottom w:w="60" w:type="dxa"/>
              <w:right w:w="80" w:type="dxa"/>
            </w:tcMar>
          </w:tcPr>
          <w:p w14:paraId="54E1B2DF" w14:textId="77777777" w:rsidR="003F1FB9" w:rsidRPr="00873AC2" w:rsidRDefault="005E0532" w:rsidP="00873AC2">
            <w:pPr>
              <w:spacing w:line="360" w:lineRule="auto"/>
              <w:jc w:val="center"/>
              <w:rPr>
                <w:sz w:val="22"/>
                <w:szCs w:val="22"/>
              </w:rPr>
            </w:pPr>
            <w:r w:rsidRPr="00873AC2">
              <w:rPr>
                <w:sz w:val="22"/>
                <w:szCs w:val="22"/>
              </w:rPr>
              <w:t>0.616</w:t>
            </w:r>
          </w:p>
        </w:tc>
      </w:tr>
      <w:tr w:rsidR="003F1FB9" w:rsidRPr="00873AC2" w14:paraId="642E38A6" w14:textId="77777777" w:rsidTr="008F1F2D">
        <w:tc>
          <w:tcPr>
            <w:tcW w:w="1838" w:type="dxa"/>
            <w:tcMar>
              <w:top w:w="60" w:type="dxa"/>
              <w:left w:w="80" w:type="dxa"/>
              <w:bottom w:w="60" w:type="dxa"/>
              <w:right w:w="80" w:type="dxa"/>
            </w:tcMar>
          </w:tcPr>
          <w:p w14:paraId="7030EAA5" w14:textId="77777777" w:rsidR="003F1FB9" w:rsidRPr="00873AC2" w:rsidRDefault="005E0532" w:rsidP="00873AC2">
            <w:pPr>
              <w:spacing w:line="360" w:lineRule="auto"/>
              <w:jc w:val="center"/>
              <w:rPr>
                <w:sz w:val="22"/>
                <w:szCs w:val="22"/>
              </w:rPr>
            </w:pPr>
            <w:r w:rsidRPr="00873AC2">
              <w:rPr>
                <w:sz w:val="22"/>
                <w:szCs w:val="22"/>
              </w:rPr>
              <w:t>Financiamiento externo</w:t>
            </w:r>
          </w:p>
        </w:tc>
        <w:tc>
          <w:tcPr>
            <w:tcW w:w="1276" w:type="dxa"/>
            <w:tcMar>
              <w:top w:w="60" w:type="dxa"/>
              <w:left w:w="80" w:type="dxa"/>
              <w:bottom w:w="60" w:type="dxa"/>
              <w:right w:w="80" w:type="dxa"/>
            </w:tcMar>
          </w:tcPr>
          <w:p w14:paraId="1FA6AC1D" w14:textId="77777777" w:rsidR="003F1FB9" w:rsidRPr="00873AC2" w:rsidRDefault="005E0532" w:rsidP="00873AC2">
            <w:pPr>
              <w:spacing w:line="360" w:lineRule="auto"/>
              <w:jc w:val="center"/>
              <w:rPr>
                <w:sz w:val="22"/>
                <w:szCs w:val="22"/>
              </w:rPr>
            </w:pPr>
            <w:r w:rsidRPr="00873AC2">
              <w:rPr>
                <w:sz w:val="22"/>
                <w:szCs w:val="22"/>
              </w:rPr>
              <w:t>0.029</w:t>
            </w:r>
          </w:p>
        </w:tc>
        <w:tc>
          <w:tcPr>
            <w:tcW w:w="1701" w:type="dxa"/>
            <w:tcMar>
              <w:top w:w="60" w:type="dxa"/>
              <w:left w:w="80" w:type="dxa"/>
              <w:bottom w:w="60" w:type="dxa"/>
              <w:right w:w="80" w:type="dxa"/>
            </w:tcMar>
          </w:tcPr>
          <w:p w14:paraId="582584DD" w14:textId="77777777" w:rsidR="003F1FB9" w:rsidRPr="00873AC2" w:rsidRDefault="005E0532" w:rsidP="00873AC2">
            <w:pPr>
              <w:spacing w:line="360" w:lineRule="auto"/>
              <w:jc w:val="center"/>
              <w:rPr>
                <w:sz w:val="22"/>
                <w:szCs w:val="22"/>
              </w:rPr>
            </w:pPr>
            <w:r w:rsidRPr="00873AC2">
              <w:rPr>
                <w:sz w:val="22"/>
                <w:szCs w:val="22"/>
              </w:rPr>
              <w:t>0.026</w:t>
            </w:r>
          </w:p>
        </w:tc>
        <w:tc>
          <w:tcPr>
            <w:tcW w:w="2126" w:type="dxa"/>
            <w:tcMar>
              <w:top w:w="60" w:type="dxa"/>
              <w:left w:w="80" w:type="dxa"/>
              <w:bottom w:w="60" w:type="dxa"/>
              <w:right w:w="80" w:type="dxa"/>
            </w:tcMar>
          </w:tcPr>
          <w:p w14:paraId="3266F232" w14:textId="77777777" w:rsidR="003F1FB9" w:rsidRPr="00873AC2" w:rsidRDefault="005E0532" w:rsidP="00873AC2">
            <w:pPr>
              <w:spacing w:line="360" w:lineRule="auto"/>
              <w:jc w:val="center"/>
              <w:rPr>
                <w:sz w:val="22"/>
                <w:szCs w:val="22"/>
              </w:rPr>
            </w:pPr>
            <w:r w:rsidRPr="00873AC2">
              <w:rPr>
                <w:sz w:val="22"/>
                <w:szCs w:val="22"/>
              </w:rPr>
              <w:t>0.143</w:t>
            </w:r>
          </w:p>
        </w:tc>
        <w:tc>
          <w:tcPr>
            <w:tcW w:w="900" w:type="dxa"/>
            <w:tcMar>
              <w:top w:w="60" w:type="dxa"/>
              <w:left w:w="80" w:type="dxa"/>
              <w:bottom w:w="60" w:type="dxa"/>
              <w:right w:w="80" w:type="dxa"/>
            </w:tcMar>
          </w:tcPr>
          <w:p w14:paraId="32662ED3" w14:textId="77777777" w:rsidR="003F1FB9" w:rsidRPr="00873AC2" w:rsidRDefault="005E0532" w:rsidP="00873AC2">
            <w:pPr>
              <w:spacing w:line="360" w:lineRule="auto"/>
              <w:jc w:val="center"/>
              <w:rPr>
                <w:sz w:val="22"/>
                <w:szCs w:val="22"/>
              </w:rPr>
            </w:pPr>
            <w:r w:rsidRPr="00873AC2">
              <w:rPr>
                <w:sz w:val="22"/>
                <w:szCs w:val="22"/>
              </w:rPr>
              <w:t>1.101</w:t>
            </w:r>
          </w:p>
        </w:tc>
        <w:tc>
          <w:tcPr>
            <w:tcW w:w="900" w:type="dxa"/>
            <w:tcMar>
              <w:top w:w="60" w:type="dxa"/>
              <w:left w:w="80" w:type="dxa"/>
              <w:bottom w:w="60" w:type="dxa"/>
              <w:right w:w="80" w:type="dxa"/>
            </w:tcMar>
          </w:tcPr>
          <w:p w14:paraId="151F1325" w14:textId="77777777" w:rsidR="003F1FB9" w:rsidRPr="00873AC2" w:rsidRDefault="005E0532" w:rsidP="00873AC2">
            <w:pPr>
              <w:spacing w:line="360" w:lineRule="auto"/>
              <w:jc w:val="center"/>
              <w:rPr>
                <w:sz w:val="22"/>
                <w:szCs w:val="22"/>
              </w:rPr>
            </w:pPr>
            <w:r w:rsidRPr="00873AC2">
              <w:rPr>
                <w:sz w:val="22"/>
                <w:szCs w:val="22"/>
              </w:rPr>
              <w:t>0.276</w:t>
            </w:r>
          </w:p>
        </w:tc>
      </w:tr>
    </w:tbl>
    <w:p w14:paraId="5C4019B6" w14:textId="587D9811" w:rsidR="003F1FB9" w:rsidRPr="00873AC2" w:rsidRDefault="005E0532" w:rsidP="00873AC2">
      <w:pPr>
        <w:spacing w:line="360" w:lineRule="auto"/>
        <w:ind w:firstLine="567"/>
        <w:jc w:val="both"/>
        <w:rPr>
          <w:sz w:val="22"/>
          <w:szCs w:val="22"/>
        </w:rPr>
      </w:pPr>
      <w:r w:rsidRPr="00873AC2">
        <w:rPr>
          <w:sz w:val="22"/>
          <w:szCs w:val="22"/>
        </w:rPr>
        <w:t>El coeficiente asociado al financiamiento externo no resultó estadísticamente significativo (p = 0.276) y el R² del modelo fue muy bajo (2.0%). Por lo tanto, no se puede afirmar que el financiamiento externo explique de manera directa y lineal el flujo efectivo neto de la empresa en el horizonte analizado.</w:t>
      </w:r>
    </w:p>
    <w:p w14:paraId="22273A0E" w14:textId="77777777" w:rsidR="003F1FB9" w:rsidRPr="00873AC2" w:rsidRDefault="005E0532" w:rsidP="00B87F1C">
      <w:pPr>
        <w:rPr>
          <w:sz w:val="22"/>
          <w:szCs w:val="22"/>
        </w:rPr>
      </w:pPr>
      <w:r w:rsidRPr="00873AC2">
        <w:rPr>
          <w:b/>
          <w:bCs/>
          <w:sz w:val="22"/>
          <w:szCs w:val="22"/>
        </w:rPr>
        <w:t>Tabla 7</w:t>
      </w:r>
    </w:p>
    <w:p w14:paraId="55EAE3E1" w14:textId="77777777" w:rsidR="003F1FB9" w:rsidRPr="00873AC2" w:rsidRDefault="005E0532" w:rsidP="00B87F1C">
      <w:pPr>
        <w:rPr>
          <w:sz w:val="22"/>
          <w:szCs w:val="22"/>
        </w:rPr>
      </w:pPr>
      <w:r w:rsidRPr="00873AC2">
        <w:rPr>
          <w:i/>
          <w:iCs/>
          <w:sz w:val="22"/>
          <w:szCs w:val="22"/>
        </w:rPr>
        <w:t>Resumen del modelo de regresión: Flujo efectivo neto (Y4) en función del costo financiero (X2)</w:t>
      </w: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200"/>
        <w:gridCol w:w="1200"/>
        <w:gridCol w:w="1200"/>
        <w:gridCol w:w="1600"/>
        <w:gridCol w:w="3300"/>
      </w:tblGrid>
      <w:tr w:rsidR="003F1FB9" w:rsidRPr="00873AC2" w14:paraId="68290F46" w14:textId="77777777" w:rsidTr="008F1F2D">
        <w:trPr>
          <w:tblHeader/>
        </w:trPr>
        <w:tc>
          <w:tcPr>
            <w:tcW w:w="1200" w:type="dxa"/>
            <w:shd w:val="clear" w:color="auto" w:fill="D9D9D9"/>
            <w:tcMar>
              <w:top w:w="60" w:type="dxa"/>
              <w:left w:w="80" w:type="dxa"/>
              <w:bottom w:w="60" w:type="dxa"/>
              <w:right w:w="80" w:type="dxa"/>
            </w:tcMar>
          </w:tcPr>
          <w:p w14:paraId="2F3522CE" w14:textId="77777777" w:rsidR="003F1FB9" w:rsidRPr="00873AC2" w:rsidRDefault="005E0532" w:rsidP="00873AC2">
            <w:pPr>
              <w:spacing w:line="360" w:lineRule="auto"/>
              <w:jc w:val="center"/>
              <w:rPr>
                <w:sz w:val="22"/>
                <w:szCs w:val="22"/>
              </w:rPr>
            </w:pPr>
            <w:r w:rsidRPr="00873AC2">
              <w:rPr>
                <w:b/>
                <w:bCs/>
                <w:sz w:val="22"/>
                <w:szCs w:val="22"/>
              </w:rPr>
              <w:t>Modelo</w:t>
            </w:r>
          </w:p>
        </w:tc>
        <w:tc>
          <w:tcPr>
            <w:tcW w:w="1200" w:type="dxa"/>
            <w:shd w:val="clear" w:color="auto" w:fill="D9D9D9"/>
            <w:tcMar>
              <w:top w:w="60" w:type="dxa"/>
              <w:left w:w="80" w:type="dxa"/>
              <w:bottom w:w="60" w:type="dxa"/>
              <w:right w:w="80" w:type="dxa"/>
            </w:tcMar>
          </w:tcPr>
          <w:p w14:paraId="2484FA2D" w14:textId="77777777" w:rsidR="003F1FB9" w:rsidRPr="00873AC2" w:rsidRDefault="005E0532" w:rsidP="00873AC2">
            <w:pPr>
              <w:spacing w:line="360" w:lineRule="auto"/>
              <w:jc w:val="center"/>
              <w:rPr>
                <w:sz w:val="22"/>
                <w:szCs w:val="22"/>
              </w:rPr>
            </w:pPr>
            <w:r w:rsidRPr="00873AC2">
              <w:rPr>
                <w:b/>
                <w:bCs/>
                <w:sz w:val="22"/>
                <w:szCs w:val="22"/>
              </w:rPr>
              <w:t>R</w:t>
            </w:r>
          </w:p>
        </w:tc>
        <w:tc>
          <w:tcPr>
            <w:tcW w:w="1200" w:type="dxa"/>
            <w:shd w:val="clear" w:color="auto" w:fill="D9D9D9"/>
            <w:tcMar>
              <w:top w:w="60" w:type="dxa"/>
              <w:left w:w="80" w:type="dxa"/>
              <w:bottom w:w="60" w:type="dxa"/>
              <w:right w:w="80" w:type="dxa"/>
            </w:tcMar>
          </w:tcPr>
          <w:p w14:paraId="1C7E52D0" w14:textId="77777777" w:rsidR="003F1FB9" w:rsidRPr="00873AC2" w:rsidRDefault="005E0532" w:rsidP="00873AC2">
            <w:pPr>
              <w:spacing w:line="360" w:lineRule="auto"/>
              <w:jc w:val="center"/>
              <w:rPr>
                <w:sz w:val="22"/>
                <w:szCs w:val="22"/>
              </w:rPr>
            </w:pPr>
            <w:r w:rsidRPr="00873AC2">
              <w:rPr>
                <w:b/>
                <w:bCs/>
                <w:sz w:val="22"/>
                <w:szCs w:val="22"/>
              </w:rPr>
              <w:t>R²</w:t>
            </w:r>
          </w:p>
        </w:tc>
        <w:tc>
          <w:tcPr>
            <w:tcW w:w="1600" w:type="dxa"/>
            <w:shd w:val="clear" w:color="auto" w:fill="D9D9D9"/>
            <w:tcMar>
              <w:top w:w="60" w:type="dxa"/>
              <w:left w:w="80" w:type="dxa"/>
              <w:bottom w:w="60" w:type="dxa"/>
              <w:right w:w="80" w:type="dxa"/>
            </w:tcMar>
          </w:tcPr>
          <w:p w14:paraId="353BAD76" w14:textId="77777777" w:rsidR="003F1FB9" w:rsidRPr="00873AC2" w:rsidRDefault="005E0532" w:rsidP="00873AC2">
            <w:pPr>
              <w:spacing w:line="360" w:lineRule="auto"/>
              <w:jc w:val="center"/>
              <w:rPr>
                <w:sz w:val="22"/>
                <w:szCs w:val="22"/>
              </w:rPr>
            </w:pPr>
            <w:r w:rsidRPr="00873AC2">
              <w:rPr>
                <w:b/>
                <w:bCs/>
                <w:sz w:val="22"/>
                <w:szCs w:val="22"/>
              </w:rPr>
              <w:t>R² ajustado</w:t>
            </w:r>
          </w:p>
        </w:tc>
        <w:tc>
          <w:tcPr>
            <w:tcW w:w="3300" w:type="dxa"/>
            <w:shd w:val="clear" w:color="auto" w:fill="D9D9D9"/>
            <w:tcMar>
              <w:top w:w="60" w:type="dxa"/>
              <w:left w:w="80" w:type="dxa"/>
              <w:bottom w:w="60" w:type="dxa"/>
              <w:right w:w="80" w:type="dxa"/>
            </w:tcMar>
          </w:tcPr>
          <w:p w14:paraId="4D7A4EAD" w14:textId="77777777" w:rsidR="003F1FB9" w:rsidRPr="00873AC2" w:rsidRDefault="005E0532" w:rsidP="00873AC2">
            <w:pPr>
              <w:spacing w:line="360" w:lineRule="auto"/>
              <w:jc w:val="center"/>
              <w:rPr>
                <w:sz w:val="22"/>
                <w:szCs w:val="22"/>
              </w:rPr>
            </w:pPr>
            <w:r w:rsidRPr="00873AC2">
              <w:rPr>
                <w:b/>
                <w:bCs/>
                <w:sz w:val="22"/>
                <w:szCs w:val="22"/>
              </w:rPr>
              <w:t>Error estándar de la estimación</w:t>
            </w:r>
          </w:p>
        </w:tc>
      </w:tr>
      <w:tr w:rsidR="003F1FB9" w:rsidRPr="00873AC2" w14:paraId="571379DC" w14:textId="77777777" w:rsidTr="008F1F2D">
        <w:tc>
          <w:tcPr>
            <w:tcW w:w="1200" w:type="dxa"/>
            <w:tcMar>
              <w:top w:w="60" w:type="dxa"/>
              <w:left w:w="80" w:type="dxa"/>
              <w:bottom w:w="60" w:type="dxa"/>
              <w:right w:w="80" w:type="dxa"/>
            </w:tcMar>
          </w:tcPr>
          <w:p w14:paraId="0A3BD4C3" w14:textId="77777777" w:rsidR="003F1FB9" w:rsidRPr="00873AC2" w:rsidRDefault="005E0532" w:rsidP="00873AC2">
            <w:pPr>
              <w:spacing w:line="360" w:lineRule="auto"/>
              <w:jc w:val="center"/>
              <w:rPr>
                <w:sz w:val="22"/>
                <w:szCs w:val="22"/>
              </w:rPr>
            </w:pPr>
            <w:r w:rsidRPr="00873AC2">
              <w:rPr>
                <w:sz w:val="22"/>
                <w:szCs w:val="22"/>
              </w:rPr>
              <w:t>1</w:t>
            </w:r>
          </w:p>
        </w:tc>
        <w:tc>
          <w:tcPr>
            <w:tcW w:w="1200" w:type="dxa"/>
            <w:tcMar>
              <w:top w:w="60" w:type="dxa"/>
              <w:left w:w="80" w:type="dxa"/>
              <w:bottom w:w="60" w:type="dxa"/>
              <w:right w:w="80" w:type="dxa"/>
            </w:tcMar>
          </w:tcPr>
          <w:p w14:paraId="345DF8A2" w14:textId="77777777" w:rsidR="003F1FB9" w:rsidRPr="00873AC2" w:rsidRDefault="005E0532" w:rsidP="00873AC2">
            <w:pPr>
              <w:spacing w:line="360" w:lineRule="auto"/>
              <w:jc w:val="center"/>
              <w:rPr>
                <w:sz w:val="22"/>
                <w:szCs w:val="22"/>
              </w:rPr>
            </w:pPr>
            <w:r w:rsidRPr="00873AC2">
              <w:rPr>
                <w:sz w:val="22"/>
                <w:szCs w:val="22"/>
              </w:rPr>
              <w:t>0.027</w:t>
            </w:r>
          </w:p>
        </w:tc>
        <w:tc>
          <w:tcPr>
            <w:tcW w:w="1200" w:type="dxa"/>
            <w:tcMar>
              <w:top w:w="60" w:type="dxa"/>
              <w:left w:w="80" w:type="dxa"/>
              <w:bottom w:w="60" w:type="dxa"/>
              <w:right w:w="80" w:type="dxa"/>
            </w:tcMar>
          </w:tcPr>
          <w:p w14:paraId="141836BF" w14:textId="77777777" w:rsidR="003F1FB9" w:rsidRPr="00873AC2" w:rsidRDefault="005E0532" w:rsidP="00873AC2">
            <w:pPr>
              <w:spacing w:line="360" w:lineRule="auto"/>
              <w:jc w:val="center"/>
              <w:rPr>
                <w:sz w:val="22"/>
                <w:szCs w:val="22"/>
              </w:rPr>
            </w:pPr>
            <w:r w:rsidRPr="00873AC2">
              <w:rPr>
                <w:sz w:val="22"/>
                <w:szCs w:val="22"/>
              </w:rPr>
              <w:t>0.001</w:t>
            </w:r>
          </w:p>
        </w:tc>
        <w:tc>
          <w:tcPr>
            <w:tcW w:w="1600" w:type="dxa"/>
            <w:tcMar>
              <w:top w:w="60" w:type="dxa"/>
              <w:left w:w="80" w:type="dxa"/>
              <w:bottom w:w="60" w:type="dxa"/>
              <w:right w:w="80" w:type="dxa"/>
            </w:tcMar>
          </w:tcPr>
          <w:p w14:paraId="7FF8F355" w14:textId="77777777" w:rsidR="003F1FB9" w:rsidRPr="00873AC2" w:rsidRDefault="005E0532" w:rsidP="00873AC2">
            <w:pPr>
              <w:spacing w:line="360" w:lineRule="auto"/>
              <w:jc w:val="center"/>
              <w:rPr>
                <w:sz w:val="22"/>
                <w:szCs w:val="22"/>
              </w:rPr>
            </w:pPr>
            <w:r w:rsidRPr="00873AC2">
              <w:rPr>
                <w:sz w:val="22"/>
                <w:szCs w:val="22"/>
              </w:rPr>
              <w:t>–0.016</w:t>
            </w:r>
          </w:p>
        </w:tc>
        <w:tc>
          <w:tcPr>
            <w:tcW w:w="3300" w:type="dxa"/>
            <w:tcMar>
              <w:top w:w="60" w:type="dxa"/>
              <w:left w:w="80" w:type="dxa"/>
              <w:bottom w:w="60" w:type="dxa"/>
              <w:right w:w="80" w:type="dxa"/>
            </w:tcMar>
          </w:tcPr>
          <w:p w14:paraId="0C9BFBB1" w14:textId="77777777" w:rsidR="003F1FB9" w:rsidRPr="00873AC2" w:rsidRDefault="005E0532" w:rsidP="00873AC2">
            <w:pPr>
              <w:spacing w:line="360" w:lineRule="auto"/>
              <w:jc w:val="center"/>
              <w:rPr>
                <w:sz w:val="22"/>
                <w:szCs w:val="22"/>
              </w:rPr>
            </w:pPr>
            <w:r w:rsidRPr="00873AC2">
              <w:rPr>
                <w:sz w:val="22"/>
                <w:szCs w:val="22"/>
              </w:rPr>
              <w:t>164,456.77</w:t>
            </w:r>
          </w:p>
        </w:tc>
      </w:tr>
    </w:tbl>
    <w:p w14:paraId="2136CE7B" w14:textId="77777777" w:rsidR="003F1FB9" w:rsidRPr="00873AC2" w:rsidRDefault="005E0532" w:rsidP="00873AC2">
      <w:pPr>
        <w:spacing w:line="360" w:lineRule="auto"/>
        <w:rPr>
          <w:sz w:val="22"/>
          <w:szCs w:val="22"/>
        </w:rPr>
      </w:pPr>
      <w:r w:rsidRPr="00B87F1C">
        <w:rPr>
          <w:i/>
          <w:iCs/>
          <w:sz w:val="18"/>
          <w:szCs w:val="18"/>
        </w:rPr>
        <w:t>Nota. Predictor: (Constante), Costo financiero X2</w:t>
      </w:r>
      <w:r w:rsidRPr="00873AC2">
        <w:rPr>
          <w:i/>
          <w:iCs/>
          <w:sz w:val="22"/>
          <w:szCs w:val="22"/>
        </w:rPr>
        <w:t>.</w:t>
      </w:r>
    </w:p>
    <w:p w14:paraId="4E9C0B31" w14:textId="77777777" w:rsidR="003F1FB9" w:rsidRPr="00873AC2" w:rsidRDefault="005E0532" w:rsidP="00B87F1C">
      <w:pPr>
        <w:rPr>
          <w:sz w:val="22"/>
          <w:szCs w:val="22"/>
        </w:rPr>
      </w:pPr>
      <w:r w:rsidRPr="00873AC2">
        <w:rPr>
          <w:b/>
          <w:bCs/>
          <w:sz w:val="22"/>
          <w:szCs w:val="22"/>
        </w:rPr>
        <w:t>Tabla 8</w:t>
      </w:r>
    </w:p>
    <w:p w14:paraId="53662DB7" w14:textId="77777777" w:rsidR="003F1FB9" w:rsidRPr="00873AC2" w:rsidRDefault="005E0532" w:rsidP="00B87F1C">
      <w:pPr>
        <w:rPr>
          <w:sz w:val="22"/>
          <w:szCs w:val="22"/>
        </w:rPr>
      </w:pPr>
      <w:r w:rsidRPr="00873AC2">
        <w:rPr>
          <w:i/>
          <w:iCs/>
          <w:sz w:val="22"/>
          <w:szCs w:val="22"/>
        </w:rPr>
        <w:t>ANOVA del modelo Flujo efectivo neto (Y4) ~ Costo financiero (X2)</w:t>
      </w:r>
    </w:p>
    <w:tbl>
      <w:tblPr>
        <w:tblW w:w="86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00"/>
        <w:gridCol w:w="2400"/>
        <w:gridCol w:w="700"/>
        <w:gridCol w:w="2200"/>
        <w:gridCol w:w="900"/>
        <w:gridCol w:w="800"/>
      </w:tblGrid>
      <w:tr w:rsidR="003F1FB9" w:rsidRPr="00873AC2" w14:paraId="643DBF0F" w14:textId="77777777">
        <w:trPr>
          <w:tblHeader/>
        </w:trPr>
        <w:tc>
          <w:tcPr>
            <w:tcW w:w="1600" w:type="dxa"/>
            <w:shd w:val="clear" w:color="auto" w:fill="D9D9D9"/>
            <w:tcMar>
              <w:top w:w="60" w:type="dxa"/>
              <w:left w:w="80" w:type="dxa"/>
              <w:bottom w:w="60" w:type="dxa"/>
              <w:right w:w="80" w:type="dxa"/>
            </w:tcMar>
          </w:tcPr>
          <w:p w14:paraId="11F4BA4C" w14:textId="77777777" w:rsidR="003F1FB9" w:rsidRPr="00873AC2" w:rsidRDefault="005E0532" w:rsidP="00873AC2">
            <w:pPr>
              <w:spacing w:line="360" w:lineRule="auto"/>
              <w:jc w:val="center"/>
              <w:rPr>
                <w:sz w:val="22"/>
                <w:szCs w:val="22"/>
              </w:rPr>
            </w:pPr>
            <w:r w:rsidRPr="00873AC2">
              <w:rPr>
                <w:b/>
                <w:bCs/>
                <w:sz w:val="22"/>
                <w:szCs w:val="22"/>
              </w:rPr>
              <w:t>Fuente</w:t>
            </w:r>
          </w:p>
        </w:tc>
        <w:tc>
          <w:tcPr>
            <w:tcW w:w="2400" w:type="dxa"/>
            <w:shd w:val="clear" w:color="auto" w:fill="D9D9D9"/>
            <w:tcMar>
              <w:top w:w="60" w:type="dxa"/>
              <w:left w:w="80" w:type="dxa"/>
              <w:bottom w:w="60" w:type="dxa"/>
              <w:right w:w="80" w:type="dxa"/>
            </w:tcMar>
          </w:tcPr>
          <w:p w14:paraId="749BAFE7" w14:textId="77777777" w:rsidR="003F1FB9" w:rsidRPr="00873AC2" w:rsidRDefault="005E0532" w:rsidP="00873AC2">
            <w:pPr>
              <w:spacing w:line="360" w:lineRule="auto"/>
              <w:jc w:val="center"/>
              <w:rPr>
                <w:sz w:val="22"/>
                <w:szCs w:val="22"/>
              </w:rPr>
            </w:pPr>
            <w:r w:rsidRPr="00873AC2">
              <w:rPr>
                <w:b/>
                <w:bCs/>
                <w:sz w:val="22"/>
                <w:szCs w:val="22"/>
              </w:rPr>
              <w:t>Suma de cuadrados</w:t>
            </w:r>
          </w:p>
        </w:tc>
        <w:tc>
          <w:tcPr>
            <w:tcW w:w="700" w:type="dxa"/>
            <w:shd w:val="clear" w:color="auto" w:fill="D9D9D9"/>
            <w:tcMar>
              <w:top w:w="60" w:type="dxa"/>
              <w:left w:w="80" w:type="dxa"/>
              <w:bottom w:w="60" w:type="dxa"/>
              <w:right w:w="80" w:type="dxa"/>
            </w:tcMar>
          </w:tcPr>
          <w:p w14:paraId="13B816E6" w14:textId="77777777" w:rsidR="003F1FB9" w:rsidRPr="00873AC2" w:rsidRDefault="005E0532" w:rsidP="00873AC2">
            <w:pPr>
              <w:spacing w:line="360" w:lineRule="auto"/>
              <w:jc w:val="center"/>
              <w:rPr>
                <w:sz w:val="22"/>
                <w:szCs w:val="22"/>
              </w:rPr>
            </w:pPr>
            <w:proofErr w:type="spellStart"/>
            <w:r w:rsidRPr="00873AC2">
              <w:rPr>
                <w:b/>
                <w:bCs/>
                <w:sz w:val="22"/>
                <w:szCs w:val="22"/>
              </w:rPr>
              <w:t>gl</w:t>
            </w:r>
            <w:proofErr w:type="spellEnd"/>
          </w:p>
        </w:tc>
        <w:tc>
          <w:tcPr>
            <w:tcW w:w="2200" w:type="dxa"/>
            <w:shd w:val="clear" w:color="auto" w:fill="D9D9D9"/>
            <w:tcMar>
              <w:top w:w="60" w:type="dxa"/>
              <w:left w:w="80" w:type="dxa"/>
              <w:bottom w:w="60" w:type="dxa"/>
              <w:right w:w="80" w:type="dxa"/>
            </w:tcMar>
          </w:tcPr>
          <w:p w14:paraId="18533146" w14:textId="77777777" w:rsidR="003F1FB9" w:rsidRPr="00873AC2" w:rsidRDefault="005E0532" w:rsidP="00873AC2">
            <w:pPr>
              <w:spacing w:line="360" w:lineRule="auto"/>
              <w:jc w:val="center"/>
              <w:rPr>
                <w:sz w:val="22"/>
                <w:szCs w:val="22"/>
              </w:rPr>
            </w:pPr>
            <w:r w:rsidRPr="00873AC2">
              <w:rPr>
                <w:b/>
                <w:bCs/>
                <w:sz w:val="22"/>
                <w:szCs w:val="22"/>
              </w:rPr>
              <w:t>Media cuadrática</w:t>
            </w:r>
          </w:p>
        </w:tc>
        <w:tc>
          <w:tcPr>
            <w:tcW w:w="900" w:type="dxa"/>
            <w:shd w:val="clear" w:color="auto" w:fill="D9D9D9"/>
            <w:tcMar>
              <w:top w:w="60" w:type="dxa"/>
              <w:left w:w="80" w:type="dxa"/>
              <w:bottom w:w="60" w:type="dxa"/>
              <w:right w:w="80" w:type="dxa"/>
            </w:tcMar>
          </w:tcPr>
          <w:p w14:paraId="4A961B5A" w14:textId="77777777" w:rsidR="003F1FB9" w:rsidRPr="00873AC2" w:rsidRDefault="005E0532" w:rsidP="00873AC2">
            <w:pPr>
              <w:spacing w:line="360" w:lineRule="auto"/>
              <w:jc w:val="center"/>
              <w:rPr>
                <w:sz w:val="22"/>
                <w:szCs w:val="22"/>
              </w:rPr>
            </w:pPr>
            <w:r w:rsidRPr="00873AC2">
              <w:rPr>
                <w:b/>
                <w:bCs/>
                <w:sz w:val="22"/>
                <w:szCs w:val="22"/>
              </w:rPr>
              <w:t>F</w:t>
            </w:r>
          </w:p>
        </w:tc>
        <w:tc>
          <w:tcPr>
            <w:tcW w:w="800" w:type="dxa"/>
            <w:shd w:val="clear" w:color="auto" w:fill="D9D9D9"/>
            <w:tcMar>
              <w:top w:w="60" w:type="dxa"/>
              <w:left w:w="80" w:type="dxa"/>
              <w:bottom w:w="60" w:type="dxa"/>
              <w:right w:w="80" w:type="dxa"/>
            </w:tcMar>
          </w:tcPr>
          <w:p w14:paraId="7BA42C20" w14:textId="77777777" w:rsidR="003F1FB9" w:rsidRPr="00873AC2" w:rsidRDefault="005E0532" w:rsidP="00873AC2">
            <w:pPr>
              <w:spacing w:line="360" w:lineRule="auto"/>
              <w:jc w:val="center"/>
              <w:rPr>
                <w:sz w:val="22"/>
                <w:szCs w:val="22"/>
              </w:rPr>
            </w:pPr>
            <w:r w:rsidRPr="00873AC2">
              <w:rPr>
                <w:b/>
                <w:bCs/>
                <w:sz w:val="22"/>
                <w:szCs w:val="22"/>
              </w:rPr>
              <w:t>Sig.</w:t>
            </w:r>
          </w:p>
        </w:tc>
      </w:tr>
      <w:tr w:rsidR="003F1FB9" w:rsidRPr="00873AC2" w14:paraId="2CF7C64E" w14:textId="77777777">
        <w:tc>
          <w:tcPr>
            <w:tcW w:w="1600" w:type="dxa"/>
            <w:tcMar>
              <w:top w:w="60" w:type="dxa"/>
              <w:left w:w="80" w:type="dxa"/>
              <w:bottom w:w="60" w:type="dxa"/>
              <w:right w:w="80" w:type="dxa"/>
            </w:tcMar>
          </w:tcPr>
          <w:p w14:paraId="2FD790F8" w14:textId="77777777" w:rsidR="003F1FB9" w:rsidRPr="00873AC2" w:rsidRDefault="005E0532" w:rsidP="00873AC2">
            <w:pPr>
              <w:spacing w:line="360" w:lineRule="auto"/>
              <w:jc w:val="center"/>
              <w:rPr>
                <w:sz w:val="22"/>
                <w:szCs w:val="22"/>
              </w:rPr>
            </w:pPr>
            <w:r w:rsidRPr="00873AC2">
              <w:rPr>
                <w:sz w:val="22"/>
                <w:szCs w:val="22"/>
              </w:rPr>
              <w:t>Regresión</w:t>
            </w:r>
          </w:p>
        </w:tc>
        <w:tc>
          <w:tcPr>
            <w:tcW w:w="2400" w:type="dxa"/>
            <w:tcMar>
              <w:top w:w="60" w:type="dxa"/>
              <w:left w:w="80" w:type="dxa"/>
              <w:bottom w:w="60" w:type="dxa"/>
              <w:right w:w="80" w:type="dxa"/>
            </w:tcMar>
          </w:tcPr>
          <w:p w14:paraId="7BE150DB" w14:textId="77777777" w:rsidR="003F1FB9" w:rsidRPr="00873AC2" w:rsidRDefault="005E0532" w:rsidP="00873AC2">
            <w:pPr>
              <w:spacing w:line="360" w:lineRule="auto"/>
              <w:jc w:val="center"/>
              <w:rPr>
                <w:sz w:val="22"/>
                <w:szCs w:val="22"/>
              </w:rPr>
            </w:pPr>
            <w:r w:rsidRPr="00873AC2">
              <w:rPr>
                <w:sz w:val="22"/>
                <w:szCs w:val="22"/>
              </w:rPr>
              <w:t>1,157,973,413.57</w:t>
            </w:r>
          </w:p>
        </w:tc>
        <w:tc>
          <w:tcPr>
            <w:tcW w:w="700" w:type="dxa"/>
            <w:tcMar>
              <w:top w:w="60" w:type="dxa"/>
              <w:left w:w="80" w:type="dxa"/>
              <w:bottom w:w="60" w:type="dxa"/>
              <w:right w:w="80" w:type="dxa"/>
            </w:tcMar>
          </w:tcPr>
          <w:p w14:paraId="0DE7EECD" w14:textId="77777777" w:rsidR="003F1FB9" w:rsidRPr="00873AC2" w:rsidRDefault="005E0532" w:rsidP="00873AC2">
            <w:pPr>
              <w:spacing w:line="360" w:lineRule="auto"/>
              <w:jc w:val="center"/>
              <w:rPr>
                <w:sz w:val="22"/>
                <w:szCs w:val="22"/>
              </w:rPr>
            </w:pPr>
            <w:r w:rsidRPr="00873AC2">
              <w:rPr>
                <w:sz w:val="22"/>
                <w:szCs w:val="22"/>
              </w:rPr>
              <w:t>1</w:t>
            </w:r>
          </w:p>
        </w:tc>
        <w:tc>
          <w:tcPr>
            <w:tcW w:w="2200" w:type="dxa"/>
            <w:tcMar>
              <w:top w:w="60" w:type="dxa"/>
              <w:left w:w="80" w:type="dxa"/>
              <w:bottom w:w="60" w:type="dxa"/>
              <w:right w:w="80" w:type="dxa"/>
            </w:tcMar>
          </w:tcPr>
          <w:p w14:paraId="15C0F116" w14:textId="77777777" w:rsidR="003F1FB9" w:rsidRPr="00873AC2" w:rsidRDefault="005E0532" w:rsidP="00873AC2">
            <w:pPr>
              <w:spacing w:line="360" w:lineRule="auto"/>
              <w:jc w:val="center"/>
              <w:rPr>
                <w:sz w:val="22"/>
                <w:szCs w:val="22"/>
              </w:rPr>
            </w:pPr>
            <w:r w:rsidRPr="00873AC2">
              <w:rPr>
                <w:sz w:val="22"/>
                <w:szCs w:val="22"/>
              </w:rPr>
              <w:t>1,157,973,413.57</w:t>
            </w:r>
          </w:p>
        </w:tc>
        <w:tc>
          <w:tcPr>
            <w:tcW w:w="900" w:type="dxa"/>
            <w:tcMar>
              <w:top w:w="60" w:type="dxa"/>
              <w:left w:w="80" w:type="dxa"/>
              <w:bottom w:w="60" w:type="dxa"/>
              <w:right w:w="80" w:type="dxa"/>
            </w:tcMar>
          </w:tcPr>
          <w:p w14:paraId="25ED9ED4" w14:textId="77777777" w:rsidR="003F1FB9" w:rsidRPr="00873AC2" w:rsidRDefault="005E0532" w:rsidP="00873AC2">
            <w:pPr>
              <w:spacing w:line="360" w:lineRule="auto"/>
              <w:jc w:val="center"/>
              <w:rPr>
                <w:sz w:val="22"/>
                <w:szCs w:val="22"/>
              </w:rPr>
            </w:pPr>
            <w:r w:rsidRPr="00873AC2">
              <w:rPr>
                <w:sz w:val="22"/>
                <w:szCs w:val="22"/>
              </w:rPr>
              <w:t>0.043</w:t>
            </w:r>
          </w:p>
        </w:tc>
        <w:tc>
          <w:tcPr>
            <w:tcW w:w="800" w:type="dxa"/>
            <w:tcMar>
              <w:top w:w="60" w:type="dxa"/>
              <w:left w:w="80" w:type="dxa"/>
              <w:bottom w:w="60" w:type="dxa"/>
              <w:right w:w="80" w:type="dxa"/>
            </w:tcMar>
          </w:tcPr>
          <w:p w14:paraId="27F2E995" w14:textId="77777777" w:rsidR="003F1FB9" w:rsidRPr="00873AC2" w:rsidRDefault="005E0532" w:rsidP="00873AC2">
            <w:pPr>
              <w:spacing w:line="360" w:lineRule="auto"/>
              <w:jc w:val="center"/>
              <w:rPr>
                <w:sz w:val="22"/>
                <w:szCs w:val="22"/>
              </w:rPr>
            </w:pPr>
            <w:r w:rsidRPr="00873AC2">
              <w:rPr>
                <w:sz w:val="22"/>
                <w:szCs w:val="22"/>
              </w:rPr>
              <w:t>0.837</w:t>
            </w:r>
          </w:p>
        </w:tc>
      </w:tr>
      <w:tr w:rsidR="003F1FB9" w:rsidRPr="00873AC2" w14:paraId="2B05DBBF" w14:textId="77777777">
        <w:tc>
          <w:tcPr>
            <w:tcW w:w="1600" w:type="dxa"/>
            <w:tcMar>
              <w:top w:w="60" w:type="dxa"/>
              <w:left w:w="80" w:type="dxa"/>
              <w:bottom w:w="60" w:type="dxa"/>
              <w:right w:w="80" w:type="dxa"/>
            </w:tcMar>
          </w:tcPr>
          <w:p w14:paraId="387F7B9F" w14:textId="77777777" w:rsidR="003F1FB9" w:rsidRPr="00873AC2" w:rsidRDefault="005E0532" w:rsidP="00873AC2">
            <w:pPr>
              <w:spacing w:line="360" w:lineRule="auto"/>
              <w:jc w:val="center"/>
              <w:rPr>
                <w:sz w:val="22"/>
                <w:szCs w:val="22"/>
              </w:rPr>
            </w:pPr>
            <w:r w:rsidRPr="00873AC2">
              <w:rPr>
                <w:sz w:val="22"/>
                <w:szCs w:val="22"/>
              </w:rPr>
              <w:t>Residual</w:t>
            </w:r>
          </w:p>
        </w:tc>
        <w:tc>
          <w:tcPr>
            <w:tcW w:w="2400" w:type="dxa"/>
            <w:tcMar>
              <w:top w:w="60" w:type="dxa"/>
              <w:left w:w="80" w:type="dxa"/>
              <w:bottom w:w="60" w:type="dxa"/>
              <w:right w:w="80" w:type="dxa"/>
            </w:tcMar>
          </w:tcPr>
          <w:p w14:paraId="0DB66213" w14:textId="77777777" w:rsidR="003F1FB9" w:rsidRPr="00873AC2" w:rsidRDefault="005E0532" w:rsidP="00873AC2">
            <w:pPr>
              <w:spacing w:line="360" w:lineRule="auto"/>
              <w:jc w:val="center"/>
              <w:rPr>
                <w:sz w:val="22"/>
                <w:szCs w:val="22"/>
              </w:rPr>
            </w:pPr>
            <w:r w:rsidRPr="00873AC2">
              <w:rPr>
                <w:sz w:val="22"/>
                <w:szCs w:val="22"/>
              </w:rPr>
              <w:t>1,568,669,695,303.99</w:t>
            </w:r>
          </w:p>
        </w:tc>
        <w:tc>
          <w:tcPr>
            <w:tcW w:w="700" w:type="dxa"/>
            <w:tcMar>
              <w:top w:w="60" w:type="dxa"/>
              <w:left w:w="80" w:type="dxa"/>
              <w:bottom w:w="60" w:type="dxa"/>
              <w:right w:w="80" w:type="dxa"/>
            </w:tcMar>
          </w:tcPr>
          <w:p w14:paraId="28DD282E" w14:textId="77777777" w:rsidR="003F1FB9" w:rsidRPr="00873AC2" w:rsidRDefault="005E0532" w:rsidP="00873AC2">
            <w:pPr>
              <w:spacing w:line="360" w:lineRule="auto"/>
              <w:jc w:val="center"/>
              <w:rPr>
                <w:sz w:val="22"/>
                <w:szCs w:val="22"/>
              </w:rPr>
            </w:pPr>
            <w:r w:rsidRPr="00873AC2">
              <w:rPr>
                <w:sz w:val="22"/>
                <w:szCs w:val="22"/>
              </w:rPr>
              <w:t>58</w:t>
            </w:r>
          </w:p>
        </w:tc>
        <w:tc>
          <w:tcPr>
            <w:tcW w:w="2200" w:type="dxa"/>
            <w:tcMar>
              <w:top w:w="60" w:type="dxa"/>
              <w:left w:w="80" w:type="dxa"/>
              <w:bottom w:w="60" w:type="dxa"/>
              <w:right w:w="80" w:type="dxa"/>
            </w:tcMar>
          </w:tcPr>
          <w:p w14:paraId="475B25CE" w14:textId="77777777" w:rsidR="003F1FB9" w:rsidRPr="00873AC2" w:rsidRDefault="005E0532" w:rsidP="00873AC2">
            <w:pPr>
              <w:spacing w:line="360" w:lineRule="auto"/>
              <w:jc w:val="center"/>
              <w:rPr>
                <w:sz w:val="22"/>
                <w:szCs w:val="22"/>
              </w:rPr>
            </w:pPr>
            <w:r w:rsidRPr="00873AC2">
              <w:rPr>
                <w:sz w:val="22"/>
                <w:szCs w:val="22"/>
              </w:rPr>
              <w:t>27,046,029,229.38</w:t>
            </w:r>
          </w:p>
        </w:tc>
        <w:tc>
          <w:tcPr>
            <w:tcW w:w="900" w:type="dxa"/>
            <w:tcMar>
              <w:top w:w="60" w:type="dxa"/>
              <w:left w:w="80" w:type="dxa"/>
              <w:bottom w:w="60" w:type="dxa"/>
              <w:right w:w="80" w:type="dxa"/>
            </w:tcMar>
          </w:tcPr>
          <w:p w14:paraId="0EC6396A" w14:textId="77777777" w:rsidR="003F1FB9" w:rsidRPr="00873AC2" w:rsidRDefault="003F1FB9" w:rsidP="00873AC2">
            <w:pPr>
              <w:spacing w:line="360" w:lineRule="auto"/>
              <w:jc w:val="center"/>
              <w:rPr>
                <w:sz w:val="22"/>
                <w:szCs w:val="22"/>
              </w:rPr>
            </w:pPr>
          </w:p>
        </w:tc>
        <w:tc>
          <w:tcPr>
            <w:tcW w:w="800" w:type="dxa"/>
            <w:tcMar>
              <w:top w:w="60" w:type="dxa"/>
              <w:left w:w="80" w:type="dxa"/>
              <w:bottom w:w="60" w:type="dxa"/>
              <w:right w:w="80" w:type="dxa"/>
            </w:tcMar>
          </w:tcPr>
          <w:p w14:paraId="6595485C" w14:textId="77777777" w:rsidR="003F1FB9" w:rsidRPr="00873AC2" w:rsidRDefault="003F1FB9" w:rsidP="00873AC2">
            <w:pPr>
              <w:spacing w:line="360" w:lineRule="auto"/>
              <w:jc w:val="center"/>
              <w:rPr>
                <w:sz w:val="22"/>
                <w:szCs w:val="22"/>
              </w:rPr>
            </w:pPr>
          </w:p>
        </w:tc>
      </w:tr>
      <w:tr w:rsidR="003F1FB9" w:rsidRPr="00873AC2" w14:paraId="091C21FD" w14:textId="77777777">
        <w:tc>
          <w:tcPr>
            <w:tcW w:w="1600" w:type="dxa"/>
            <w:tcMar>
              <w:top w:w="60" w:type="dxa"/>
              <w:left w:w="80" w:type="dxa"/>
              <w:bottom w:w="60" w:type="dxa"/>
              <w:right w:w="80" w:type="dxa"/>
            </w:tcMar>
          </w:tcPr>
          <w:p w14:paraId="1ACBFE90" w14:textId="77777777" w:rsidR="003F1FB9" w:rsidRPr="00873AC2" w:rsidRDefault="005E0532" w:rsidP="00873AC2">
            <w:pPr>
              <w:spacing w:line="360" w:lineRule="auto"/>
              <w:jc w:val="center"/>
              <w:rPr>
                <w:sz w:val="22"/>
                <w:szCs w:val="22"/>
              </w:rPr>
            </w:pPr>
            <w:r w:rsidRPr="00873AC2">
              <w:rPr>
                <w:sz w:val="22"/>
                <w:szCs w:val="22"/>
              </w:rPr>
              <w:t>Total</w:t>
            </w:r>
          </w:p>
        </w:tc>
        <w:tc>
          <w:tcPr>
            <w:tcW w:w="2400" w:type="dxa"/>
            <w:tcMar>
              <w:top w:w="60" w:type="dxa"/>
              <w:left w:w="80" w:type="dxa"/>
              <w:bottom w:w="60" w:type="dxa"/>
              <w:right w:w="80" w:type="dxa"/>
            </w:tcMar>
          </w:tcPr>
          <w:p w14:paraId="1EF19B6D" w14:textId="77777777" w:rsidR="003F1FB9" w:rsidRPr="00873AC2" w:rsidRDefault="005E0532" w:rsidP="00873AC2">
            <w:pPr>
              <w:spacing w:line="360" w:lineRule="auto"/>
              <w:jc w:val="center"/>
              <w:rPr>
                <w:sz w:val="22"/>
                <w:szCs w:val="22"/>
              </w:rPr>
            </w:pPr>
            <w:r w:rsidRPr="00873AC2">
              <w:rPr>
                <w:sz w:val="22"/>
                <w:szCs w:val="22"/>
              </w:rPr>
              <w:t>1,569,827,668,717.56</w:t>
            </w:r>
          </w:p>
        </w:tc>
        <w:tc>
          <w:tcPr>
            <w:tcW w:w="700" w:type="dxa"/>
            <w:tcMar>
              <w:top w:w="60" w:type="dxa"/>
              <w:left w:w="80" w:type="dxa"/>
              <w:bottom w:w="60" w:type="dxa"/>
              <w:right w:w="80" w:type="dxa"/>
            </w:tcMar>
          </w:tcPr>
          <w:p w14:paraId="35E47885" w14:textId="77777777" w:rsidR="003F1FB9" w:rsidRPr="00873AC2" w:rsidRDefault="005E0532" w:rsidP="00873AC2">
            <w:pPr>
              <w:spacing w:line="360" w:lineRule="auto"/>
              <w:jc w:val="center"/>
              <w:rPr>
                <w:sz w:val="22"/>
                <w:szCs w:val="22"/>
              </w:rPr>
            </w:pPr>
            <w:r w:rsidRPr="00873AC2">
              <w:rPr>
                <w:sz w:val="22"/>
                <w:szCs w:val="22"/>
              </w:rPr>
              <w:t>59</w:t>
            </w:r>
          </w:p>
        </w:tc>
        <w:tc>
          <w:tcPr>
            <w:tcW w:w="2200" w:type="dxa"/>
            <w:tcMar>
              <w:top w:w="60" w:type="dxa"/>
              <w:left w:w="80" w:type="dxa"/>
              <w:bottom w:w="60" w:type="dxa"/>
              <w:right w:w="80" w:type="dxa"/>
            </w:tcMar>
          </w:tcPr>
          <w:p w14:paraId="18F04A94" w14:textId="77777777" w:rsidR="003F1FB9" w:rsidRPr="00873AC2" w:rsidRDefault="003F1FB9" w:rsidP="00873AC2">
            <w:pPr>
              <w:spacing w:line="360" w:lineRule="auto"/>
              <w:jc w:val="center"/>
              <w:rPr>
                <w:sz w:val="22"/>
                <w:szCs w:val="22"/>
              </w:rPr>
            </w:pPr>
          </w:p>
        </w:tc>
        <w:tc>
          <w:tcPr>
            <w:tcW w:w="900" w:type="dxa"/>
            <w:tcMar>
              <w:top w:w="60" w:type="dxa"/>
              <w:left w:w="80" w:type="dxa"/>
              <w:bottom w:w="60" w:type="dxa"/>
              <w:right w:w="80" w:type="dxa"/>
            </w:tcMar>
          </w:tcPr>
          <w:p w14:paraId="5569D573" w14:textId="77777777" w:rsidR="003F1FB9" w:rsidRPr="00873AC2" w:rsidRDefault="003F1FB9" w:rsidP="00873AC2">
            <w:pPr>
              <w:spacing w:line="360" w:lineRule="auto"/>
              <w:jc w:val="center"/>
              <w:rPr>
                <w:sz w:val="22"/>
                <w:szCs w:val="22"/>
              </w:rPr>
            </w:pPr>
          </w:p>
        </w:tc>
        <w:tc>
          <w:tcPr>
            <w:tcW w:w="800" w:type="dxa"/>
            <w:tcMar>
              <w:top w:w="60" w:type="dxa"/>
              <w:left w:w="80" w:type="dxa"/>
              <w:bottom w:w="60" w:type="dxa"/>
              <w:right w:w="80" w:type="dxa"/>
            </w:tcMar>
          </w:tcPr>
          <w:p w14:paraId="582E73C5" w14:textId="77777777" w:rsidR="003F1FB9" w:rsidRPr="00873AC2" w:rsidRDefault="003F1FB9" w:rsidP="00873AC2">
            <w:pPr>
              <w:spacing w:line="360" w:lineRule="auto"/>
              <w:jc w:val="center"/>
              <w:rPr>
                <w:sz w:val="22"/>
                <w:szCs w:val="22"/>
              </w:rPr>
            </w:pPr>
          </w:p>
        </w:tc>
      </w:tr>
    </w:tbl>
    <w:p w14:paraId="0AA714FC" w14:textId="77777777" w:rsidR="003F1FB9" w:rsidRPr="00873AC2" w:rsidRDefault="005E0532" w:rsidP="00B87F1C">
      <w:pPr>
        <w:rPr>
          <w:sz w:val="22"/>
          <w:szCs w:val="22"/>
        </w:rPr>
      </w:pPr>
      <w:r w:rsidRPr="00873AC2">
        <w:rPr>
          <w:b/>
          <w:bCs/>
          <w:sz w:val="22"/>
          <w:szCs w:val="22"/>
        </w:rPr>
        <w:t>Tabla 9</w:t>
      </w:r>
    </w:p>
    <w:p w14:paraId="46DCBFAB" w14:textId="77777777" w:rsidR="003F1FB9" w:rsidRPr="00873AC2" w:rsidRDefault="005E0532" w:rsidP="00B87F1C">
      <w:pPr>
        <w:rPr>
          <w:sz w:val="22"/>
          <w:szCs w:val="22"/>
        </w:rPr>
      </w:pPr>
      <w:r w:rsidRPr="00873AC2">
        <w:rPr>
          <w:i/>
          <w:iCs/>
          <w:sz w:val="22"/>
          <w:szCs w:val="22"/>
        </w:rPr>
        <w:t>Coeficientes del modelo Flujo efectivo neto (Y4) ~ Costo financiero (X2)</w:t>
      </w:r>
    </w:p>
    <w:tbl>
      <w:tblPr>
        <w:tblW w:w="87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696"/>
        <w:gridCol w:w="1276"/>
        <w:gridCol w:w="1701"/>
        <w:gridCol w:w="2268"/>
        <w:gridCol w:w="900"/>
        <w:gridCol w:w="900"/>
      </w:tblGrid>
      <w:tr w:rsidR="003F1FB9" w:rsidRPr="00873AC2" w14:paraId="6E8E4021" w14:textId="77777777" w:rsidTr="008F1F2D">
        <w:trPr>
          <w:tblHeader/>
        </w:trPr>
        <w:tc>
          <w:tcPr>
            <w:tcW w:w="1696" w:type="dxa"/>
            <w:shd w:val="clear" w:color="auto" w:fill="D9D9D9"/>
            <w:tcMar>
              <w:top w:w="60" w:type="dxa"/>
              <w:left w:w="80" w:type="dxa"/>
              <w:bottom w:w="60" w:type="dxa"/>
              <w:right w:w="80" w:type="dxa"/>
            </w:tcMar>
          </w:tcPr>
          <w:p w14:paraId="1DB1DED6" w14:textId="77777777" w:rsidR="003F1FB9" w:rsidRPr="00873AC2" w:rsidRDefault="005E0532" w:rsidP="00873AC2">
            <w:pPr>
              <w:spacing w:line="360" w:lineRule="auto"/>
              <w:jc w:val="center"/>
              <w:rPr>
                <w:sz w:val="22"/>
                <w:szCs w:val="22"/>
              </w:rPr>
            </w:pPr>
            <w:r w:rsidRPr="00873AC2">
              <w:rPr>
                <w:b/>
                <w:bCs/>
                <w:sz w:val="22"/>
                <w:szCs w:val="22"/>
              </w:rPr>
              <w:t>Variable</w:t>
            </w:r>
          </w:p>
        </w:tc>
        <w:tc>
          <w:tcPr>
            <w:tcW w:w="1276" w:type="dxa"/>
            <w:shd w:val="clear" w:color="auto" w:fill="D9D9D9"/>
            <w:tcMar>
              <w:top w:w="60" w:type="dxa"/>
              <w:left w:w="80" w:type="dxa"/>
              <w:bottom w:w="60" w:type="dxa"/>
              <w:right w:w="80" w:type="dxa"/>
            </w:tcMar>
          </w:tcPr>
          <w:p w14:paraId="4BBE77CE" w14:textId="77777777" w:rsidR="003F1FB9" w:rsidRPr="00873AC2" w:rsidRDefault="005E0532" w:rsidP="00873AC2">
            <w:pPr>
              <w:spacing w:line="360" w:lineRule="auto"/>
              <w:jc w:val="center"/>
              <w:rPr>
                <w:sz w:val="22"/>
                <w:szCs w:val="22"/>
              </w:rPr>
            </w:pPr>
            <w:r w:rsidRPr="00873AC2">
              <w:rPr>
                <w:b/>
                <w:bCs/>
                <w:sz w:val="22"/>
                <w:szCs w:val="22"/>
              </w:rPr>
              <w:t>B</w:t>
            </w:r>
          </w:p>
        </w:tc>
        <w:tc>
          <w:tcPr>
            <w:tcW w:w="1701" w:type="dxa"/>
            <w:shd w:val="clear" w:color="auto" w:fill="D9D9D9"/>
            <w:tcMar>
              <w:top w:w="60" w:type="dxa"/>
              <w:left w:w="80" w:type="dxa"/>
              <w:bottom w:w="60" w:type="dxa"/>
              <w:right w:w="80" w:type="dxa"/>
            </w:tcMar>
          </w:tcPr>
          <w:p w14:paraId="6506FF49" w14:textId="77777777" w:rsidR="003F1FB9" w:rsidRPr="00873AC2" w:rsidRDefault="005E0532" w:rsidP="00873AC2">
            <w:pPr>
              <w:spacing w:line="360" w:lineRule="auto"/>
              <w:jc w:val="center"/>
              <w:rPr>
                <w:sz w:val="22"/>
                <w:szCs w:val="22"/>
              </w:rPr>
            </w:pPr>
            <w:r w:rsidRPr="00873AC2">
              <w:rPr>
                <w:b/>
                <w:bCs/>
                <w:sz w:val="22"/>
                <w:szCs w:val="22"/>
              </w:rPr>
              <w:t>Error estándar</w:t>
            </w:r>
          </w:p>
        </w:tc>
        <w:tc>
          <w:tcPr>
            <w:tcW w:w="2268" w:type="dxa"/>
            <w:shd w:val="clear" w:color="auto" w:fill="D9D9D9"/>
            <w:tcMar>
              <w:top w:w="60" w:type="dxa"/>
              <w:left w:w="80" w:type="dxa"/>
              <w:bottom w:w="60" w:type="dxa"/>
              <w:right w:w="80" w:type="dxa"/>
            </w:tcMar>
          </w:tcPr>
          <w:p w14:paraId="587C9179" w14:textId="77777777" w:rsidR="003F1FB9" w:rsidRPr="00873AC2" w:rsidRDefault="005E0532" w:rsidP="00873AC2">
            <w:pPr>
              <w:spacing w:line="360" w:lineRule="auto"/>
              <w:jc w:val="center"/>
              <w:rPr>
                <w:sz w:val="22"/>
                <w:szCs w:val="22"/>
              </w:rPr>
            </w:pPr>
            <w:r w:rsidRPr="00873AC2">
              <w:rPr>
                <w:b/>
                <w:bCs/>
                <w:sz w:val="22"/>
                <w:szCs w:val="22"/>
              </w:rPr>
              <w:t>Beta estandarizada</w:t>
            </w:r>
          </w:p>
        </w:tc>
        <w:tc>
          <w:tcPr>
            <w:tcW w:w="900" w:type="dxa"/>
            <w:shd w:val="clear" w:color="auto" w:fill="D9D9D9"/>
            <w:tcMar>
              <w:top w:w="60" w:type="dxa"/>
              <w:left w:w="80" w:type="dxa"/>
              <w:bottom w:w="60" w:type="dxa"/>
              <w:right w:w="80" w:type="dxa"/>
            </w:tcMar>
          </w:tcPr>
          <w:p w14:paraId="3DE5B5C2" w14:textId="77777777" w:rsidR="003F1FB9" w:rsidRPr="00873AC2" w:rsidRDefault="005E0532" w:rsidP="00873AC2">
            <w:pPr>
              <w:spacing w:line="360" w:lineRule="auto"/>
              <w:jc w:val="center"/>
              <w:rPr>
                <w:sz w:val="22"/>
                <w:szCs w:val="22"/>
              </w:rPr>
            </w:pPr>
            <w:r w:rsidRPr="00873AC2">
              <w:rPr>
                <w:b/>
                <w:bCs/>
                <w:sz w:val="22"/>
                <w:szCs w:val="22"/>
              </w:rPr>
              <w:t>t</w:t>
            </w:r>
          </w:p>
        </w:tc>
        <w:tc>
          <w:tcPr>
            <w:tcW w:w="900" w:type="dxa"/>
            <w:shd w:val="clear" w:color="auto" w:fill="D9D9D9"/>
            <w:tcMar>
              <w:top w:w="60" w:type="dxa"/>
              <w:left w:w="80" w:type="dxa"/>
              <w:bottom w:w="60" w:type="dxa"/>
              <w:right w:w="80" w:type="dxa"/>
            </w:tcMar>
          </w:tcPr>
          <w:p w14:paraId="307AB569" w14:textId="77777777" w:rsidR="003F1FB9" w:rsidRPr="00873AC2" w:rsidRDefault="005E0532" w:rsidP="00873AC2">
            <w:pPr>
              <w:spacing w:line="360" w:lineRule="auto"/>
              <w:jc w:val="center"/>
              <w:rPr>
                <w:sz w:val="22"/>
                <w:szCs w:val="22"/>
              </w:rPr>
            </w:pPr>
            <w:r w:rsidRPr="00873AC2">
              <w:rPr>
                <w:b/>
                <w:bCs/>
                <w:sz w:val="22"/>
                <w:szCs w:val="22"/>
              </w:rPr>
              <w:t>Sig.</w:t>
            </w:r>
          </w:p>
        </w:tc>
      </w:tr>
      <w:tr w:rsidR="003F1FB9" w:rsidRPr="00873AC2" w14:paraId="0D2E5171" w14:textId="77777777" w:rsidTr="008F1F2D">
        <w:tc>
          <w:tcPr>
            <w:tcW w:w="1696" w:type="dxa"/>
            <w:tcMar>
              <w:top w:w="60" w:type="dxa"/>
              <w:left w:w="80" w:type="dxa"/>
              <w:bottom w:w="60" w:type="dxa"/>
              <w:right w:w="80" w:type="dxa"/>
            </w:tcMar>
          </w:tcPr>
          <w:p w14:paraId="623F1AA9" w14:textId="77777777" w:rsidR="003F1FB9" w:rsidRPr="00873AC2" w:rsidRDefault="005E0532" w:rsidP="00873AC2">
            <w:pPr>
              <w:spacing w:line="360" w:lineRule="auto"/>
              <w:jc w:val="center"/>
              <w:rPr>
                <w:sz w:val="22"/>
                <w:szCs w:val="22"/>
              </w:rPr>
            </w:pPr>
            <w:r w:rsidRPr="00873AC2">
              <w:rPr>
                <w:sz w:val="22"/>
                <w:szCs w:val="22"/>
              </w:rPr>
              <w:t>Constante</w:t>
            </w:r>
          </w:p>
        </w:tc>
        <w:tc>
          <w:tcPr>
            <w:tcW w:w="1276" w:type="dxa"/>
            <w:tcMar>
              <w:top w:w="60" w:type="dxa"/>
              <w:left w:w="80" w:type="dxa"/>
              <w:bottom w:w="60" w:type="dxa"/>
              <w:right w:w="80" w:type="dxa"/>
            </w:tcMar>
          </w:tcPr>
          <w:p w14:paraId="29EEBC28" w14:textId="77777777" w:rsidR="003F1FB9" w:rsidRPr="00873AC2" w:rsidRDefault="005E0532" w:rsidP="00873AC2">
            <w:pPr>
              <w:spacing w:line="360" w:lineRule="auto"/>
              <w:jc w:val="center"/>
              <w:rPr>
                <w:sz w:val="22"/>
                <w:szCs w:val="22"/>
              </w:rPr>
            </w:pPr>
            <w:r w:rsidRPr="00873AC2">
              <w:rPr>
                <w:sz w:val="22"/>
                <w:szCs w:val="22"/>
              </w:rPr>
              <w:t>9,061.02</w:t>
            </w:r>
          </w:p>
        </w:tc>
        <w:tc>
          <w:tcPr>
            <w:tcW w:w="1701" w:type="dxa"/>
            <w:tcMar>
              <w:top w:w="60" w:type="dxa"/>
              <w:left w:w="80" w:type="dxa"/>
              <w:bottom w:w="60" w:type="dxa"/>
              <w:right w:w="80" w:type="dxa"/>
            </w:tcMar>
          </w:tcPr>
          <w:p w14:paraId="46B5208D" w14:textId="77777777" w:rsidR="003F1FB9" w:rsidRPr="00873AC2" w:rsidRDefault="005E0532" w:rsidP="00873AC2">
            <w:pPr>
              <w:spacing w:line="360" w:lineRule="auto"/>
              <w:jc w:val="center"/>
              <w:rPr>
                <w:sz w:val="22"/>
                <w:szCs w:val="22"/>
              </w:rPr>
            </w:pPr>
            <w:r w:rsidRPr="00873AC2">
              <w:rPr>
                <w:sz w:val="22"/>
                <w:szCs w:val="22"/>
              </w:rPr>
              <w:t>59,074.60</w:t>
            </w:r>
          </w:p>
        </w:tc>
        <w:tc>
          <w:tcPr>
            <w:tcW w:w="2268" w:type="dxa"/>
            <w:tcMar>
              <w:top w:w="60" w:type="dxa"/>
              <w:left w:w="80" w:type="dxa"/>
              <w:bottom w:w="60" w:type="dxa"/>
              <w:right w:w="80" w:type="dxa"/>
            </w:tcMar>
          </w:tcPr>
          <w:p w14:paraId="2DAE88C8" w14:textId="77777777" w:rsidR="003F1FB9" w:rsidRPr="00873AC2" w:rsidRDefault="005E0532" w:rsidP="00873AC2">
            <w:pPr>
              <w:spacing w:line="360" w:lineRule="auto"/>
              <w:jc w:val="center"/>
              <w:rPr>
                <w:sz w:val="22"/>
                <w:szCs w:val="22"/>
              </w:rPr>
            </w:pPr>
            <w:r w:rsidRPr="00873AC2">
              <w:rPr>
                <w:sz w:val="22"/>
                <w:szCs w:val="22"/>
              </w:rPr>
              <w:t>—</w:t>
            </w:r>
          </w:p>
        </w:tc>
        <w:tc>
          <w:tcPr>
            <w:tcW w:w="900" w:type="dxa"/>
            <w:tcMar>
              <w:top w:w="60" w:type="dxa"/>
              <w:left w:w="80" w:type="dxa"/>
              <w:bottom w:w="60" w:type="dxa"/>
              <w:right w:w="80" w:type="dxa"/>
            </w:tcMar>
          </w:tcPr>
          <w:p w14:paraId="1BC2260B" w14:textId="77777777" w:rsidR="003F1FB9" w:rsidRPr="00873AC2" w:rsidRDefault="005E0532" w:rsidP="00873AC2">
            <w:pPr>
              <w:spacing w:line="360" w:lineRule="auto"/>
              <w:jc w:val="center"/>
              <w:rPr>
                <w:sz w:val="22"/>
                <w:szCs w:val="22"/>
              </w:rPr>
            </w:pPr>
            <w:r w:rsidRPr="00873AC2">
              <w:rPr>
                <w:sz w:val="22"/>
                <w:szCs w:val="22"/>
              </w:rPr>
              <w:t>0.153</w:t>
            </w:r>
          </w:p>
        </w:tc>
        <w:tc>
          <w:tcPr>
            <w:tcW w:w="900" w:type="dxa"/>
            <w:tcMar>
              <w:top w:w="60" w:type="dxa"/>
              <w:left w:w="80" w:type="dxa"/>
              <w:bottom w:w="60" w:type="dxa"/>
              <w:right w:w="80" w:type="dxa"/>
            </w:tcMar>
          </w:tcPr>
          <w:p w14:paraId="023A2F1E" w14:textId="77777777" w:rsidR="003F1FB9" w:rsidRPr="00873AC2" w:rsidRDefault="005E0532" w:rsidP="00873AC2">
            <w:pPr>
              <w:spacing w:line="360" w:lineRule="auto"/>
              <w:jc w:val="center"/>
              <w:rPr>
                <w:sz w:val="22"/>
                <w:szCs w:val="22"/>
              </w:rPr>
            </w:pPr>
            <w:r w:rsidRPr="00873AC2">
              <w:rPr>
                <w:sz w:val="22"/>
                <w:szCs w:val="22"/>
              </w:rPr>
              <w:t>0.879</w:t>
            </w:r>
          </w:p>
        </w:tc>
      </w:tr>
      <w:tr w:rsidR="003F1FB9" w:rsidRPr="00873AC2" w14:paraId="058BDA5A" w14:textId="77777777" w:rsidTr="008F1F2D">
        <w:tc>
          <w:tcPr>
            <w:tcW w:w="1696" w:type="dxa"/>
            <w:tcMar>
              <w:top w:w="60" w:type="dxa"/>
              <w:left w:w="80" w:type="dxa"/>
              <w:bottom w:w="60" w:type="dxa"/>
              <w:right w:w="80" w:type="dxa"/>
            </w:tcMar>
          </w:tcPr>
          <w:p w14:paraId="44F710BA" w14:textId="77777777" w:rsidR="003F1FB9" w:rsidRPr="00873AC2" w:rsidRDefault="005E0532" w:rsidP="00873AC2">
            <w:pPr>
              <w:spacing w:line="360" w:lineRule="auto"/>
              <w:jc w:val="center"/>
              <w:rPr>
                <w:sz w:val="22"/>
                <w:szCs w:val="22"/>
              </w:rPr>
            </w:pPr>
            <w:r w:rsidRPr="00873AC2">
              <w:rPr>
                <w:sz w:val="22"/>
                <w:szCs w:val="22"/>
              </w:rPr>
              <w:t>Costo financiero</w:t>
            </w:r>
          </w:p>
        </w:tc>
        <w:tc>
          <w:tcPr>
            <w:tcW w:w="1276" w:type="dxa"/>
            <w:tcMar>
              <w:top w:w="60" w:type="dxa"/>
              <w:left w:w="80" w:type="dxa"/>
              <w:bottom w:w="60" w:type="dxa"/>
              <w:right w:w="80" w:type="dxa"/>
            </w:tcMar>
          </w:tcPr>
          <w:p w14:paraId="554994A3" w14:textId="77777777" w:rsidR="003F1FB9" w:rsidRPr="00873AC2" w:rsidRDefault="005E0532" w:rsidP="00873AC2">
            <w:pPr>
              <w:spacing w:line="360" w:lineRule="auto"/>
              <w:jc w:val="center"/>
              <w:rPr>
                <w:sz w:val="22"/>
                <w:szCs w:val="22"/>
              </w:rPr>
            </w:pPr>
            <w:r w:rsidRPr="00873AC2">
              <w:rPr>
                <w:sz w:val="22"/>
                <w:szCs w:val="22"/>
              </w:rPr>
              <w:t>–0.154</w:t>
            </w:r>
          </w:p>
        </w:tc>
        <w:tc>
          <w:tcPr>
            <w:tcW w:w="1701" w:type="dxa"/>
            <w:tcMar>
              <w:top w:w="60" w:type="dxa"/>
              <w:left w:w="80" w:type="dxa"/>
              <w:bottom w:w="60" w:type="dxa"/>
              <w:right w:w="80" w:type="dxa"/>
            </w:tcMar>
          </w:tcPr>
          <w:p w14:paraId="02D82369" w14:textId="77777777" w:rsidR="003F1FB9" w:rsidRPr="00873AC2" w:rsidRDefault="005E0532" w:rsidP="00873AC2">
            <w:pPr>
              <w:spacing w:line="360" w:lineRule="auto"/>
              <w:jc w:val="center"/>
              <w:rPr>
                <w:sz w:val="22"/>
                <w:szCs w:val="22"/>
              </w:rPr>
            </w:pPr>
            <w:r w:rsidRPr="00873AC2">
              <w:rPr>
                <w:sz w:val="22"/>
                <w:szCs w:val="22"/>
              </w:rPr>
              <w:t>0.744</w:t>
            </w:r>
          </w:p>
        </w:tc>
        <w:tc>
          <w:tcPr>
            <w:tcW w:w="2268" w:type="dxa"/>
            <w:tcMar>
              <w:top w:w="60" w:type="dxa"/>
              <w:left w:w="80" w:type="dxa"/>
              <w:bottom w:w="60" w:type="dxa"/>
              <w:right w:w="80" w:type="dxa"/>
            </w:tcMar>
          </w:tcPr>
          <w:p w14:paraId="38D31FBA" w14:textId="77777777" w:rsidR="003F1FB9" w:rsidRPr="00873AC2" w:rsidRDefault="005E0532" w:rsidP="00873AC2">
            <w:pPr>
              <w:spacing w:line="360" w:lineRule="auto"/>
              <w:jc w:val="center"/>
              <w:rPr>
                <w:sz w:val="22"/>
                <w:szCs w:val="22"/>
              </w:rPr>
            </w:pPr>
            <w:r w:rsidRPr="00873AC2">
              <w:rPr>
                <w:sz w:val="22"/>
                <w:szCs w:val="22"/>
              </w:rPr>
              <w:t>–0.027</w:t>
            </w:r>
          </w:p>
        </w:tc>
        <w:tc>
          <w:tcPr>
            <w:tcW w:w="900" w:type="dxa"/>
            <w:tcMar>
              <w:top w:w="60" w:type="dxa"/>
              <w:left w:w="80" w:type="dxa"/>
              <w:bottom w:w="60" w:type="dxa"/>
              <w:right w:w="80" w:type="dxa"/>
            </w:tcMar>
          </w:tcPr>
          <w:p w14:paraId="1674FF56" w14:textId="77777777" w:rsidR="003F1FB9" w:rsidRPr="00873AC2" w:rsidRDefault="005E0532" w:rsidP="00873AC2">
            <w:pPr>
              <w:spacing w:line="360" w:lineRule="auto"/>
              <w:jc w:val="center"/>
              <w:rPr>
                <w:sz w:val="22"/>
                <w:szCs w:val="22"/>
              </w:rPr>
            </w:pPr>
            <w:r w:rsidRPr="00873AC2">
              <w:rPr>
                <w:sz w:val="22"/>
                <w:szCs w:val="22"/>
              </w:rPr>
              <w:t>–0.207</w:t>
            </w:r>
          </w:p>
        </w:tc>
        <w:tc>
          <w:tcPr>
            <w:tcW w:w="900" w:type="dxa"/>
            <w:tcMar>
              <w:top w:w="60" w:type="dxa"/>
              <w:left w:w="80" w:type="dxa"/>
              <w:bottom w:w="60" w:type="dxa"/>
              <w:right w:w="80" w:type="dxa"/>
            </w:tcMar>
          </w:tcPr>
          <w:p w14:paraId="21744BC7" w14:textId="77777777" w:rsidR="003F1FB9" w:rsidRPr="00873AC2" w:rsidRDefault="005E0532" w:rsidP="00873AC2">
            <w:pPr>
              <w:spacing w:line="360" w:lineRule="auto"/>
              <w:jc w:val="center"/>
              <w:rPr>
                <w:sz w:val="22"/>
                <w:szCs w:val="22"/>
              </w:rPr>
            </w:pPr>
            <w:r w:rsidRPr="00873AC2">
              <w:rPr>
                <w:sz w:val="22"/>
                <w:szCs w:val="22"/>
              </w:rPr>
              <w:t>0.837</w:t>
            </w:r>
          </w:p>
        </w:tc>
      </w:tr>
    </w:tbl>
    <w:p w14:paraId="2BA0E6DD" w14:textId="77777777" w:rsidR="00B87F1C" w:rsidRDefault="00B87F1C" w:rsidP="00873AC2">
      <w:pPr>
        <w:spacing w:line="360" w:lineRule="auto"/>
        <w:ind w:firstLine="567"/>
        <w:jc w:val="both"/>
        <w:rPr>
          <w:sz w:val="22"/>
          <w:szCs w:val="22"/>
        </w:rPr>
      </w:pPr>
    </w:p>
    <w:p w14:paraId="18099D10" w14:textId="2EC3E124" w:rsidR="003F1FB9" w:rsidRPr="00873AC2" w:rsidRDefault="005E0532" w:rsidP="00873AC2">
      <w:pPr>
        <w:spacing w:line="360" w:lineRule="auto"/>
        <w:ind w:firstLine="567"/>
        <w:jc w:val="both"/>
        <w:rPr>
          <w:sz w:val="22"/>
          <w:szCs w:val="22"/>
        </w:rPr>
      </w:pPr>
      <w:r w:rsidRPr="00873AC2">
        <w:rPr>
          <w:sz w:val="22"/>
          <w:szCs w:val="22"/>
        </w:rPr>
        <w:t>El costo financiero tampoco presentó un efecto significativo sobre el flujo efectivo neto (p = 0.837), y el modelo prácticamente no explicó variación alguna (R² = 0.1%). En síntesis, las regresiones lineales simples confirman que el flujo efectivo neto, al ser un indicador residual, no captura de forma lineal el efecto de las fuentes de financiamiento consideradas de manera aislada; su comportamiento depende de la interacción simultánea de los flujos operativo, de inversión y de financiamiento, así como del calendario de cobros y pagos.</w:t>
      </w:r>
    </w:p>
    <w:p w14:paraId="71419C1B" w14:textId="77777777" w:rsidR="00B87F1C" w:rsidRDefault="00B87F1C">
      <w:pPr>
        <w:rPr>
          <w:b/>
          <w:bCs/>
          <w:sz w:val="22"/>
          <w:szCs w:val="22"/>
        </w:rPr>
      </w:pPr>
      <w:r>
        <w:rPr>
          <w:b/>
          <w:bCs/>
          <w:sz w:val="22"/>
          <w:szCs w:val="22"/>
        </w:rPr>
        <w:br w:type="page"/>
      </w:r>
    </w:p>
    <w:p w14:paraId="43DB35D8" w14:textId="56C57C62" w:rsidR="003F1FB9" w:rsidRPr="00B87F1C" w:rsidRDefault="005E0532" w:rsidP="00873AC2">
      <w:pPr>
        <w:spacing w:line="360" w:lineRule="auto"/>
        <w:rPr>
          <w:sz w:val="22"/>
          <w:szCs w:val="22"/>
        </w:rPr>
      </w:pPr>
      <w:r w:rsidRPr="00B87F1C">
        <w:rPr>
          <w:b/>
          <w:bCs/>
          <w:sz w:val="22"/>
          <w:szCs w:val="22"/>
        </w:rPr>
        <w:lastRenderedPageBreak/>
        <w:t>Análisis de componentes principales (ACP)</w:t>
      </w:r>
    </w:p>
    <w:p w14:paraId="4BAD80CD" w14:textId="57D9ABE1" w:rsidR="003F1FB9" w:rsidRPr="00873AC2" w:rsidRDefault="005E0532" w:rsidP="00873AC2">
      <w:pPr>
        <w:spacing w:line="360" w:lineRule="auto"/>
        <w:ind w:firstLine="567"/>
        <w:jc w:val="both"/>
        <w:rPr>
          <w:sz w:val="22"/>
          <w:szCs w:val="22"/>
        </w:rPr>
      </w:pPr>
      <w:r w:rsidRPr="00873AC2">
        <w:rPr>
          <w:sz w:val="22"/>
          <w:szCs w:val="22"/>
        </w:rPr>
        <w:t>Como prueba de robustez, se aplicó un ACP a las cuatro dimensiones del flujo de efectivo (Y1–Y4).</w:t>
      </w:r>
    </w:p>
    <w:p w14:paraId="5A331070" w14:textId="77777777" w:rsidR="003F1FB9" w:rsidRPr="00873AC2" w:rsidRDefault="005E0532" w:rsidP="00873AC2">
      <w:pPr>
        <w:spacing w:line="360" w:lineRule="auto"/>
        <w:rPr>
          <w:sz w:val="22"/>
          <w:szCs w:val="22"/>
        </w:rPr>
      </w:pPr>
      <w:r w:rsidRPr="00873AC2">
        <w:rPr>
          <w:b/>
          <w:bCs/>
          <w:sz w:val="22"/>
          <w:szCs w:val="22"/>
        </w:rPr>
        <w:t>Tabla 10</w:t>
      </w:r>
    </w:p>
    <w:p w14:paraId="740A7BF7" w14:textId="77777777" w:rsidR="003F1FB9" w:rsidRPr="00873AC2" w:rsidRDefault="005E0532" w:rsidP="00873AC2">
      <w:pPr>
        <w:spacing w:line="360" w:lineRule="auto"/>
        <w:rPr>
          <w:sz w:val="22"/>
          <w:szCs w:val="22"/>
        </w:rPr>
      </w:pPr>
      <w:r w:rsidRPr="00873AC2">
        <w:rPr>
          <w:i/>
          <w:iCs/>
          <w:sz w:val="22"/>
          <w:szCs w:val="22"/>
        </w:rPr>
        <w:t>Comunalidades iniciales y extraídas (ACP)</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650"/>
        <w:gridCol w:w="1650"/>
      </w:tblGrid>
      <w:tr w:rsidR="003F1FB9" w:rsidRPr="00873AC2" w14:paraId="107A2069" w14:textId="77777777">
        <w:trPr>
          <w:tblHeader/>
        </w:trPr>
        <w:tc>
          <w:tcPr>
            <w:tcW w:w="3200" w:type="dxa"/>
            <w:shd w:val="clear" w:color="auto" w:fill="D9D9D9"/>
            <w:tcMar>
              <w:top w:w="60" w:type="dxa"/>
              <w:left w:w="80" w:type="dxa"/>
              <w:bottom w:w="60" w:type="dxa"/>
              <w:right w:w="80" w:type="dxa"/>
            </w:tcMar>
          </w:tcPr>
          <w:p w14:paraId="5142A66B" w14:textId="77777777" w:rsidR="003F1FB9" w:rsidRPr="00873AC2" w:rsidRDefault="005E0532" w:rsidP="00873AC2">
            <w:pPr>
              <w:spacing w:line="360" w:lineRule="auto"/>
              <w:jc w:val="center"/>
              <w:rPr>
                <w:sz w:val="22"/>
                <w:szCs w:val="22"/>
              </w:rPr>
            </w:pPr>
            <w:r w:rsidRPr="00873AC2">
              <w:rPr>
                <w:b/>
                <w:bCs/>
                <w:sz w:val="22"/>
                <w:szCs w:val="22"/>
              </w:rPr>
              <w:t>Variable</w:t>
            </w:r>
          </w:p>
        </w:tc>
        <w:tc>
          <w:tcPr>
            <w:tcW w:w="1650" w:type="dxa"/>
            <w:shd w:val="clear" w:color="auto" w:fill="D9D9D9"/>
            <w:tcMar>
              <w:top w:w="60" w:type="dxa"/>
              <w:left w:w="80" w:type="dxa"/>
              <w:bottom w:w="60" w:type="dxa"/>
              <w:right w:w="80" w:type="dxa"/>
            </w:tcMar>
          </w:tcPr>
          <w:p w14:paraId="04F74219" w14:textId="77777777" w:rsidR="003F1FB9" w:rsidRPr="00873AC2" w:rsidRDefault="005E0532" w:rsidP="00873AC2">
            <w:pPr>
              <w:spacing w:line="360" w:lineRule="auto"/>
              <w:jc w:val="center"/>
              <w:rPr>
                <w:sz w:val="22"/>
                <w:szCs w:val="22"/>
              </w:rPr>
            </w:pPr>
            <w:r w:rsidRPr="00873AC2">
              <w:rPr>
                <w:b/>
                <w:bCs/>
                <w:sz w:val="22"/>
                <w:szCs w:val="22"/>
              </w:rPr>
              <w:t>Inicial</w:t>
            </w:r>
          </w:p>
        </w:tc>
        <w:tc>
          <w:tcPr>
            <w:tcW w:w="1650" w:type="dxa"/>
            <w:shd w:val="clear" w:color="auto" w:fill="D9D9D9"/>
            <w:tcMar>
              <w:top w:w="60" w:type="dxa"/>
              <w:left w:w="80" w:type="dxa"/>
              <w:bottom w:w="60" w:type="dxa"/>
              <w:right w:w="80" w:type="dxa"/>
            </w:tcMar>
          </w:tcPr>
          <w:p w14:paraId="1CAF69CA" w14:textId="77777777" w:rsidR="003F1FB9" w:rsidRPr="00873AC2" w:rsidRDefault="005E0532" w:rsidP="00873AC2">
            <w:pPr>
              <w:spacing w:line="360" w:lineRule="auto"/>
              <w:jc w:val="center"/>
              <w:rPr>
                <w:sz w:val="22"/>
                <w:szCs w:val="22"/>
              </w:rPr>
            </w:pPr>
            <w:r w:rsidRPr="00873AC2">
              <w:rPr>
                <w:b/>
                <w:bCs/>
                <w:sz w:val="22"/>
                <w:szCs w:val="22"/>
              </w:rPr>
              <w:t>Extracción</w:t>
            </w:r>
          </w:p>
        </w:tc>
      </w:tr>
      <w:tr w:rsidR="003F1FB9" w:rsidRPr="00873AC2" w14:paraId="60E6CDDA" w14:textId="77777777">
        <w:tc>
          <w:tcPr>
            <w:tcW w:w="3200" w:type="dxa"/>
            <w:tcMar>
              <w:top w:w="60" w:type="dxa"/>
              <w:left w:w="80" w:type="dxa"/>
              <w:bottom w:w="60" w:type="dxa"/>
              <w:right w:w="80" w:type="dxa"/>
            </w:tcMar>
          </w:tcPr>
          <w:p w14:paraId="383A0E33" w14:textId="77777777" w:rsidR="003F1FB9" w:rsidRPr="00873AC2" w:rsidRDefault="005E0532" w:rsidP="00873AC2">
            <w:pPr>
              <w:spacing w:line="360" w:lineRule="auto"/>
              <w:jc w:val="center"/>
              <w:rPr>
                <w:sz w:val="22"/>
                <w:szCs w:val="22"/>
              </w:rPr>
            </w:pPr>
            <w:r w:rsidRPr="00873AC2">
              <w:rPr>
                <w:sz w:val="22"/>
                <w:szCs w:val="22"/>
              </w:rPr>
              <w:t>Flujo operativo (Y1)</w:t>
            </w:r>
          </w:p>
        </w:tc>
        <w:tc>
          <w:tcPr>
            <w:tcW w:w="1650" w:type="dxa"/>
            <w:tcMar>
              <w:top w:w="60" w:type="dxa"/>
              <w:left w:w="80" w:type="dxa"/>
              <w:bottom w:w="60" w:type="dxa"/>
              <w:right w:w="80" w:type="dxa"/>
            </w:tcMar>
          </w:tcPr>
          <w:p w14:paraId="263F7AE5" w14:textId="77777777" w:rsidR="003F1FB9" w:rsidRPr="00873AC2" w:rsidRDefault="005E0532" w:rsidP="00873AC2">
            <w:pPr>
              <w:spacing w:line="360" w:lineRule="auto"/>
              <w:jc w:val="center"/>
              <w:rPr>
                <w:sz w:val="22"/>
                <w:szCs w:val="22"/>
              </w:rPr>
            </w:pPr>
            <w:r w:rsidRPr="00873AC2">
              <w:rPr>
                <w:sz w:val="22"/>
                <w:szCs w:val="22"/>
              </w:rPr>
              <w:t>1.000</w:t>
            </w:r>
          </w:p>
        </w:tc>
        <w:tc>
          <w:tcPr>
            <w:tcW w:w="1650" w:type="dxa"/>
            <w:tcMar>
              <w:top w:w="60" w:type="dxa"/>
              <w:left w:w="80" w:type="dxa"/>
              <w:bottom w:w="60" w:type="dxa"/>
              <w:right w:w="80" w:type="dxa"/>
            </w:tcMar>
          </w:tcPr>
          <w:p w14:paraId="6C5A57CA" w14:textId="77777777" w:rsidR="003F1FB9" w:rsidRPr="00873AC2" w:rsidRDefault="005E0532" w:rsidP="00873AC2">
            <w:pPr>
              <w:spacing w:line="360" w:lineRule="auto"/>
              <w:jc w:val="center"/>
              <w:rPr>
                <w:sz w:val="22"/>
                <w:szCs w:val="22"/>
              </w:rPr>
            </w:pPr>
            <w:r w:rsidRPr="00873AC2">
              <w:rPr>
                <w:sz w:val="22"/>
                <w:szCs w:val="22"/>
              </w:rPr>
              <w:t>0.554</w:t>
            </w:r>
          </w:p>
        </w:tc>
      </w:tr>
      <w:tr w:rsidR="003F1FB9" w:rsidRPr="00873AC2" w14:paraId="1928011E" w14:textId="77777777">
        <w:tc>
          <w:tcPr>
            <w:tcW w:w="3200" w:type="dxa"/>
            <w:tcMar>
              <w:top w:w="60" w:type="dxa"/>
              <w:left w:w="80" w:type="dxa"/>
              <w:bottom w:w="60" w:type="dxa"/>
              <w:right w:w="80" w:type="dxa"/>
            </w:tcMar>
          </w:tcPr>
          <w:p w14:paraId="11740C93" w14:textId="77777777" w:rsidR="003F1FB9" w:rsidRPr="00873AC2" w:rsidRDefault="005E0532" w:rsidP="00873AC2">
            <w:pPr>
              <w:spacing w:line="360" w:lineRule="auto"/>
              <w:jc w:val="center"/>
              <w:rPr>
                <w:sz w:val="22"/>
                <w:szCs w:val="22"/>
              </w:rPr>
            </w:pPr>
            <w:r w:rsidRPr="00873AC2">
              <w:rPr>
                <w:sz w:val="22"/>
                <w:szCs w:val="22"/>
              </w:rPr>
              <w:t>Flujo de inversión (Y2)</w:t>
            </w:r>
          </w:p>
        </w:tc>
        <w:tc>
          <w:tcPr>
            <w:tcW w:w="1650" w:type="dxa"/>
            <w:tcMar>
              <w:top w:w="60" w:type="dxa"/>
              <w:left w:w="80" w:type="dxa"/>
              <w:bottom w:w="60" w:type="dxa"/>
              <w:right w:w="80" w:type="dxa"/>
            </w:tcMar>
          </w:tcPr>
          <w:p w14:paraId="2C1317DB" w14:textId="77777777" w:rsidR="003F1FB9" w:rsidRPr="00873AC2" w:rsidRDefault="005E0532" w:rsidP="00873AC2">
            <w:pPr>
              <w:spacing w:line="360" w:lineRule="auto"/>
              <w:jc w:val="center"/>
              <w:rPr>
                <w:sz w:val="22"/>
                <w:szCs w:val="22"/>
              </w:rPr>
            </w:pPr>
            <w:r w:rsidRPr="00873AC2">
              <w:rPr>
                <w:sz w:val="22"/>
                <w:szCs w:val="22"/>
              </w:rPr>
              <w:t>1.000</w:t>
            </w:r>
          </w:p>
        </w:tc>
        <w:tc>
          <w:tcPr>
            <w:tcW w:w="1650" w:type="dxa"/>
            <w:tcMar>
              <w:top w:w="60" w:type="dxa"/>
              <w:left w:w="80" w:type="dxa"/>
              <w:bottom w:w="60" w:type="dxa"/>
              <w:right w:w="80" w:type="dxa"/>
            </w:tcMar>
          </w:tcPr>
          <w:p w14:paraId="7386E5BA" w14:textId="77777777" w:rsidR="003F1FB9" w:rsidRPr="00873AC2" w:rsidRDefault="005E0532" w:rsidP="00873AC2">
            <w:pPr>
              <w:spacing w:line="360" w:lineRule="auto"/>
              <w:jc w:val="center"/>
              <w:rPr>
                <w:sz w:val="22"/>
                <w:szCs w:val="22"/>
              </w:rPr>
            </w:pPr>
            <w:r w:rsidRPr="00873AC2">
              <w:rPr>
                <w:sz w:val="22"/>
                <w:szCs w:val="22"/>
              </w:rPr>
              <w:t>0.598</w:t>
            </w:r>
          </w:p>
        </w:tc>
      </w:tr>
      <w:tr w:rsidR="003F1FB9" w:rsidRPr="00873AC2" w14:paraId="71D276A1" w14:textId="77777777">
        <w:tc>
          <w:tcPr>
            <w:tcW w:w="3200" w:type="dxa"/>
            <w:tcMar>
              <w:top w:w="60" w:type="dxa"/>
              <w:left w:w="80" w:type="dxa"/>
              <w:bottom w:w="60" w:type="dxa"/>
              <w:right w:w="80" w:type="dxa"/>
            </w:tcMar>
          </w:tcPr>
          <w:p w14:paraId="2EBF88C8" w14:textId="77777777" w:rsidR="003F1FB9" w:rsidRPr="00873AC2" w:rsidRDefault="005E0532" w:rsidP="00873AC2">
            <w:pPr>
              <w:spacing w:line="360" w:lineRule="auto"/>
              <w:jc w:val="center"/>
              <w:rPr>
                <w:sz w:val="22"/>
                <w:szCs w:val="22"/>
              </w:rPr>
            </w:pPr>
            <w:r w:rsidRPr="00873AC2">
              <w:rPr>
                <w:sz w:val="22"/>
                <w:szCs w:val="22"/>
              </w:rPr>
              <w:t>Flujo de financiamiento (Y3)</w:t>
            </w:r>
          </w:p>
        </w:tc>
        <w:tc>
          <w:tcPr>
            <w:tcW w:w="1650" w:type="dxa"/>
            <w:tcMar>
              <w:top w:w="60" w:type="dxa"/>
              <w:left w:w="80" w:type="dxa"/>
              <w:bottom w:w="60" w:type="dxa"/>
              <w:right w:w="80" w:type="dxa"/>
            </w:tcMar>
          </w:tcPr>
          <w:p w14:paraId="04EF32EE" w14:textId="77777777" w:rsidR="003F1FB9" w:rsidRPr="00873AC2" w:rsidRDefault="005E0532" w:rsidP="00873AC2">
            <w:pPr>
              <w:spacing w:line="360" w:lineRule="auto"/>
              <w:jc w:val="center"/>
              <w:rPr>
                <w:sz w:val="22"/>
                <w:szCs w:val="22"/>
              </w:rPr>
            </w:pPr>
            <w:r w:rsidRPr="00873AC2">
              <w:rPr>
                <w:sz w:val="22"/>
                <w:szCs w:val="22"/>
              </w:rPr>
              <w:t>1.000</w:t>
            </w:r>
          </w:p>
        </w:tc>
        <w:tc>
          <w:tcPr>
            <w:tcW w:w="1650" w:type="dxa"/>
            <w:tcMar>
              <w:top w:w="60" w:type="dxa"/>
              <w:left w:w="80" w:type="dxa"/>
              <w:bottom w:w="60" w:type="dxa"/>
              <w:right w:w="80" w:type="dxa"/>
            </w:tcMar>
          </w:tcPr>
          <w:p w14:paraId="678198DE" w14:textId="77777777" w:rsidR="003F1FB9" w:rsidRPr="00873AC2" w:rsidRDefault="005E0532" w:rsidP="00873AC2">
            <w:pPr>
              <w:spacing w:line="360" w:lineRule="auto"/>
              <w:jc w:val="center"/>
              <w:rPr>
                <w:sz w:val="22"/>
                <w:szCs w:val="22"/>
              </w:rPr>
            </w:pPr>
            <w:r w:rsidRPr="00873AC2">
              <w:rPr>
                <w:sz w:val="22"/>
                <w:szCs w:val="22"/>
              </w:rPr>
              <w:t>1.000</w:t>
            </w:r>
          </w:p>
        </w:tc>
      </w:tr>
      <w:tr w:rsidR="003F1FB9" w:rsidRPr="00873AC2" w14:paraId="7DC888EF" w14:textId="77777777">
        <w:tc>
          <w:tcPr>
            <w:tcW w:w="3200" w:type="dxa"/>
            <w:tcMar>
              <w:top w:w="60" w:type="dxa"/>
              <w:left w:w="80" w:type="dxa"/>
              <w:bottom w:w="60" w:type="dxa"/>
              <w:right w:w="80" w:type="dxa"/>
            </w:tcMar>
          </w:tcPr>
          <w:p w14:paraId="321DF39A" w14:textId="77777777" w:rsidR="003F1FB9" w:rsidRPr="00873AC2" w:rsidRDefault="005E0532" w:rsidP="00873AC2">
            <w:pPr>
              <w:spacing w:line="360" w:lineRule="auto"/>
              <w:jc w:val="center"/>
              <w:rPr>
                <w:sz w:val="22"/>
                <w:szCs w:val="22"/>
              </w:rPr>
            </w:pPr>
            <w:r w:rsidRPr="00873AC2">
              <w:rPr>
                <w:sz w:val="22"/>
                <w:szCs w:val="22"/>
              </w:rPr>
              <w:t>Flujo efectivo neto (Y4)</w:t>
            </w:r>
          </w:p>
        </w:tc>
        <w:tc>
          <w:tcPr>
            <w:tcW w:w="1650" w:type="dxa"/>
            <w:tcMar>
              <w:top w:w="60" w:type="dxa"/>
              <w:left w:w="80" w:type="dxa"/>
              <w:bottom w:w="60" w:type="dxa"/>
              <w:right w:w="80" w:type="dxa"/>
            </w:tcMar>
          </w:tcPr>
          <w:p w14:paraId="42173130" w14:textId="77777777" w:rsidR="003F1FB9" w:rsidRPr="00873AC2" w:rsidRDefault="005E0532" w:rsidP="00873AC2">
            <w:pPr>
              <w:spacing w:line="360" w:lineRule="auto"/>
              <w:jc w:val="center"/>
              <w:rPr>
                <w:sz w:val="22"/>
                <w:szCs w:val="22"/>
              </w:rPr>
            </w:pPr>
            <w:r w:rsidRPr="00873AC2">
              <w:rPr>
                <w:sz w:val="22"/>
                <w:szCs w:val="22"/>
              </w:rPr>
              <w:t>1.000</w:t>
            </w:r>
          </w:p>
        </w:tc>
        <w:tc>
          <w:tcPr>
            <w:tcW w:w="1650" w:type="dxa"/>
            <w:tcMar>
              <w:top w:w="60" w:type="dxa"/>
              <w:left w:w="80" w:type="dxa"/>
              <w:bottom w:w="60" w:type="dxa"/>
              <w:right w:w="80" w:type="dxa"/>
            </w:tcMar>
          </w:tcPr>
          <w:p w14:paraId="0EC6DAE7" w14:textId="77777777" w:rsidR="003F1FB9" w:rsidRPr="00873AC2" w:rsidRDefault="005E0532" w:rsidP="00873AC2">
            <w:pPr>
              <w:spacing w:line="360" w:lineRule="auto"/>
              <w:jc w:val="center"/>
              <w:rPr>
                <w:sz w:val="22"/>
                <w:szCs w:val="22"/>
              </w:rPr>
            </w:pPr>
            <w:r w:rsidRPr="00873AC2">
              <w:rPr>
                <w:sz w:val="22"/>
                <w:szCs w:val="22"/>
              </w:rPr>
              <w:t>0.946</w:t>
            </w:r>
          </w:p>
        </w:tc>
      </w:tr>
    </w:tbl>
    <w:p w14:paraId="38711FF1" w14:textId="77777777" w:rsidR="00B87F1C" w:rsidRDefault="00B87F1C" w:rsidP="00873AC2">
      <w:pPr>
        <w:spacing w:line="360" w:lineRule="auto"/>
        <w:rPr>
          <w:b/>
          <w:bCs/>
          <w:sz w:val="22"/>
          <w:szCs w:val="22"/>
        </w:rPr>
      </w:pPr>
    </w:p>
    <w:p w14:paraId="113A41CC" w14:textId="7D0EB636" w:rsidR="003F1FB9" w:rsidRPr="00873AC2" w:rsidRDefault="005E0532" w:rsidP="00873AC2">
      <w:pPr>
        <w:spacing w:line="360" w:lineRule="auto"/>
        <w:rPr>
          <w:sz w:val="22"/>
          <w:szCs w:val="22"/>
        </w:rPr>
      </w:pPr>
      <w:r w:rsidRPr="00873AC2">
        <w:rPr>
          <w:b/>
          <w:bCs/>
          <w:sz w:val="22"/>
          <w:szCs w:val="22"/>
        </w:rPr>
        <w:t>Tabla 11</w:t>
      </w:r>
    </w:p>
    <w:p w14:paraId="02FAE416" w14:textId="77777777" w:rsidR="003F1FB9" w:rsidRPr="00873AC2" w:rsidRDefault="005E0532" w:rsidP="00873AC2">
      <w:pPr>
        <w:spacing w:line="360" w:lineRule="auto"/>
        <w:rPr>
          <w:sz w:val="22"/>
          <w:szCs w:val="22"/>
        </w:rPr>
      </w:pPr>
      <w:r w:rsidRPr="00873AC2">
        <w:rPr>
          <w:i/>
          <w:iCs/>
          <w:sz w:val="22"/>
          <w:szCs w:val="22"/>
        </w:rPr>
        <w:t>Varianza total explicada por los componentes del ACP</w:t>
      </w:r>
    </w:p>
    <w:tbl>
      <w:tblPr>
        <w:tblW w:w="63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800"/>
        <w:gridCol w:w="1500"/>
        <w:gridCol w:w="1500"/>
        <w:gridCol w:w="1500"/>
      </w:tblGrid>
      <w:tr w:rsidR="003F1FB9" w:rsidRPr="00873AC2" w14:paraId="5C6AF861" w14:textId="77777777">
        <w:trPr>
          <w:tblHeader/>
        </w:trPr>
        <w:tc>
          <w:tcPr>
            <w:tcW w:w="1800" w:type="dxa"/>
            <w:shd w:val="clear" w:color="auto" w:fill="D9D9D9"/>
            <w:tcMar>
              <w:top w:w="60" w:type="dxa"/>
              <w:left w:w="80" w:type="dxa"/>
              <w:bottom w:w="60" w:type="dxa"/>
              <w:right w:w="80" w:type="dxa"/>
            </w:tcMar>
          </w:tcPr>
          <w:p w14:paraId="6E0CE393" w14:textId="77777777" w:rsidR="003F1FB9" w:rsidRPr="00873AC2" w:rsidRDefault="005E0532" w:rsidP="00873AC2">
            <w:pPr>
              <w:spacing w:line="360" w:lineRule="auto"/>
              <w:jc w:val="center"/>
              <w:rPr>
                <w:sz w:val="22"/>
                <w:szCs w:val="22"/>
              </w:rPr>
            </w:pPr>
            <w:r w:rsidRPr="00873AC2">
              <w:rPr>
                <w:b/>
                <w:bCs/>
                <w:sz w:val="22"/>
                <w:szCs w:val="22"/>
              </w:rPr>
              <w:t>Componente</w:t>
            </w:r>
          </w:p>
        </w:tc>
        <w:tc>
          <w:tcPr>
            <w:tcW w:w="1500" w:type="dxa"/>
            <w:shd w:val="clear" w:color="auto" w:fill="D9D9D9"/>
            <w:tcMar>
              <w:top w:w="60" w:type="dxa"/>
              <w:left w:w="80" w:type="dxa"/>
              <w:bottom w:w="60" w:type="dxa"/>
              <w:right w:w="80" w:type="dxa"/>
            </w:tcMar>
          </w:tcPr>
          <w:p w14:paraId="7F837876" w14:textId="77777777" w:rsidR="003F1FB9" w:rsidRPr="00873AC2" w:rsidRDefault="005E0532" w:rsidP="00873AC2">
            <w:pPr>
              <w:spacing w:line="360" w:lineRule="auto"/>
              <w:jc w:val="center"/>
              <w:rPr>
                <w:sz w:val="22"/>
                <w:szCs w:val="22"/>
              </w:rPr>
            </w:pPr>
            <w:r w:rsidRPr="00873AC2">
              <w:rPr>
                <w:b/>
                <w:bCs/>
                <w:sz w:val="22"/>
                <w:szCs w:val="22"/>
              </w:rPr>
              <w:t>Autovalor</w:t>
            </w:r>
          </w:p>
        </w:tc>
        <w:tc>
          <w:tcPr>
            <w:tcW w:w="1500" w:type="dxa"/>
            <w:shd w:val="clear" w:color="auto" w:fill="D9D9D9"/>
            <w:tcMar>
              <w:top w:w="60" w:type="dxa"/>
              <w:left w:w="80" w:type="dxa"/>
              <w:bottom w:w="60" w:type="dxa"/>
              <w:right w:w="80" w:type="dxa"/>
            </w:tcMar>
          </w:tcPr>
          <w:p w14:paraId="71B13396" w14:textId="77777777" w:rsidR="003F1FB9" w:rsidRPr="00873AC2" w:rsidRDefault="005E0532" w:rsidP="00873AC2">
            <w:pPr>
              <w:spacing w:line="360" w:lineRule="auto"/>
              <w:jc w:val="center"/>
              <w:rPr>
                <w:sz w:val="22"/>
                <w:szCs w:val="22"/>
              </w:rPr>
            </w:pPr>
            <w:r w:rsidRPr="00873AC2">
              <w:rPr>
                <w:b/>
                <w:bCs/>
                <w:sz w:val="22"/>
                <w:szCs w:val="22"/>
              </w:rPr>
              <w:t>% Varianza</w:t>
            </w:r>
          </w:p>
        </w:tc>
        <w:tc>
          <w:tcPr>
            <w:tcW w:w="1500" w:type="dxa"/>
            <w:shd w:val="clear" w:color="auto" w:fill="D9D9D9"/>
            <w:tcMar>
              <w:top w:w="60" w:type="dxa"/>
              <w:left w:w="80" w:type="dxa"/>
              <w:bottom w:w="60" w:type="dxa"/>
              <w:right w:w="80" w:type="dxa"/>
            </w:tcMar>
          </w:tcPr>
          <w:p w14:paraId="3614F0E9" w14:textId="77777777" w:rsidR="003F1FB9" w:rsidRPr="00873AC2" w:rsidRDefault="005E0532" w:rsidP="00873AC2">
            <w:pPr>
              <w:spacing w:line="360" w:lineRule="auto"/>
              <w:jc w:val="center"/>
              <w:rPr>
                <w:sz w:val="22"/>
                <w:szCs w:val="22"/>
              </w:rPr>
            </w:pPr>
            <w:r w:rsidRPr="00873AC2">
              <w:rPr>
                <w:b/>
                <w:bCs/>
                <w:sz w:val="22"/>
                <w:szCs w:val="22"/>
              </w:rPr>
              <w:t>% Acumulado</w:t>
            </w:r>
          </w:p>
        </w:tc>
      </w:tr>
      <w:tr w:rsidR="003F1FB9" w:rsidRPr="00873AC2" w14:paraId="54F8F2EF" w14:textId="77777777">
        <w:tc>
          <w:tcPr>
            <w:tcW w:w="1800" w:type="dxa"/>
            <w:tcMar>
              <w:top w:w="60" w:type="dxa"/>
              <w:left w:w="80" w:type="dxa"/>
              <w:bottom w:w="60" w:type="dxa"/>
              <w:right w:w="80" w:type="dxa"/>
            </w:tcMar>
          </w:tcPr>
          <w:p w14:paraId="0EC783FF" w14:textId="77777777" w:rsidR="003F1FB9" w:rsidRPr="00873AC2" w:rsidRDefault="005E0532" w:rsidP="00873AC2">
            <w:pPr>
              <w:spacing w:line="360" w:lineRule="auto"/>
              <w:jc w:val="center"/>
              <w:rPr>
                <w:sz w:val="22"/>
                <w:szCs w:val="22"/>
              </w:rPr>
            </w:pPr>
            <w:r w:rsidRPr="00873AC2">
              <w:rPr>
                <w:sz w:val="22"/>
                <w:szCs w:val="22"/>
              </w:rPr>
              <w:t>1</w:t>
            </w:r>
          </w:p>
        </w:tc>
        <w:tc>
          <w:tcPr>
            <w:tcW w:w="1500" w:type="dxa"/>
            <w:tcMar>
              <w:top w:w="60" w:type="dxa"/>
              <w:left w:w="80" w:type="dxa"/>
              <w:bottom w:w="60" w:type="dxa"/>
              <w:right w:w="80" w:type="dxa"/>
            </w:tcMar>
          </w:tcPr>
          <w:p w14:paraId="171F908D" w14:textId="77777777" w:rsidR="003F1FB9" w:rsidRPr="00873AC2" w:rsidRDefault="005E0532" w:rsidP="00873AC2">
            <w:pPr>
              <w:spacing w:line="360" w:lineRule="auto"/>
              <w:jc w:val="center"/>
              <w:rPr>
                <w:sz w:val="22"/>
                <w:szCs w:val="22"/>
              </w:rPr>
            </w:pPr>
            <w:r w:rsidRPr="00873AC2">
              <w:rPr>
                <w:sz w:val="22"/>
                <w:szCs w:val="22"/>
              </w:rPr>
              <w:t>2.083</w:t>
            </w:r>
          </w:p>
        </w:tc>
        <w:tc>
          <w:tcPr>
            <w:tcW w:w="1500" w:type="dxa"/>
            <w:tcMar>
              <w:top w:w="60" w:type="dxa"/>
              <w:left w:w="80" w:type="dxa"/>
              <w:bottom w:w="60" w:type="dxa"/>
              <w:right w:w="80" w:type="dxa"/>
            </w:tcMar>
          </w:tcPr>
          <w:p w14:paraId="30F92C91" w14:textId="77777777" w:rsidR="003F1FB9" w:rsidRPr="00873AC2" w:rsidRDefault="005E0532" w:rsidP="00873AC2">
            <w:pPr>
              <w:spacing w:line="360" w:lineRule="auto"/>
              <w:jc w:val="center"/>
              <w:rPr>
                <w:sz w:val="22"/>
                <w:szCs w:val="22"/>
              </w:rPr>
            </w:pPr>
            <w:r w:rsidRPr="00873AC2">
              <w:rPr>
                <w:sz w:val="22"/>
                <w:szCs w:val="22"/>
              </w:rPr>
              <w:t>52.06%</w:t>
            </w:r>
          </w:p>
        </w:tc>
        <w:tc>
          <w:tcPr>
            <w:tcW w:w="1500" w:type="dxa"/>
            <w:tcMar>
              <w:top w:w="60" w:type="dxa"/>
              <w:left w:w="80" w:type="dxa"/>
              <w:bottom w:w="60" w:type="dxa"/>
              <w:right w:w="80" w:type="dxa"/>
            </w:tcMar>
          </w:tcPr>
          <w:p w14:paraId="622F8B1E" w14:textId="77777777" w:rsidR="003F1FB9" w:rsidRPr="00873AC2" w:rsidRDefault="005E0532" w:rsidP="00873AC2">
            <w:pPr>
              <w:spacing w:line="360" w:lineRule="auto"/>
              <w:jc w:val="center"/>
              <w:rPr>
                <w:sz w:val="22"/>
                <w:szCs w:val="22"/>
              </w:rPr>
            </w:pPr>
            <w:r w:rsidRPr="00873AC2">
              <w:rPr>
                <w:sz w:val="22"/>
                <w:szCs w:val="22"/>
              </w:rPr>
              <w:t>52.06%</w:t>
            </w:r>
          </w:p>
        </w:tc>
      </w:tr>
      <w:tr w:rsidR="003F1FB9" w:rsidRPr="00873AC2" w14:paraId="0EA15A05" w14:textId="77777777">
        <w:tc>
          <w:tcPr>
            <w:tcW w:w="1800" w:type="dxa"/>
            <w:tcMar>
              <w:top w:w="60" w:type="dxa"/>
              <w:left w:w="80" w:type="dxa"/>
              <w:bottom w:w="60" w:type="dxa"/>
              <w:right w:w="80" w:type="dxa"/>
            </w:tcMar>
          </w:tcPr>
          <w:p w14:paraId="6D8CB062" w14:textId="77777777" w:rsidR="003F1FB9" w:rsidRPr="00873AC2" w:rsidRDefault="005E0532" w:rsidP="00873AC2">
            <w:pPr>
              <w:spacing w:line="360" w:lineRule="auto"/>
              <w:jc w:val="center"/>
              <w:rPr>
                <w:sz w:val="22"/>
                <w:szCs w:val="22"/>
              </w:rPr>
            </w:pPr>
            <w:r w:rsidRPr="00873AC2">
              <w:rPr>
                <w:sz w:val="22"/>
                <w:szCs w:val="22"/>
              </w:rPr>
              <w:t>2</w:t>
            </w:r>
          </w:p>
        </w:tc>
        <w:tc>
          <w:tcPr>
            <w:tcW w:w="1500" w:type="dxa"/>
            <w:tcMar>
              <w:top w:w="60" w:type="dxa"/>
              <w:left w:w="80" w:type="dxa"/>
              <w:bottom w:w="60" w:type="dxa"/>
              <w:right w:w="80" w:type="dxa"/>
            </w:tcMar>
          </w:tcPr>
          <w:p w14:paraId="49579F94" w14:textId="77777777" w:rsidR="003F1FB9" w:rsidRPr="00873AC2" w:rsidRDefault="005E0532" w:rsidP="00873AC2">
            <w:pPr>
              <w:spacing w:line="360" w:lineRule="auto"/>
              <w:jc w:val="center"/>
              <w:rPr>
                <w:sz w:val="22"/>
                <w:szCs w:val="22"/>
              </w:rPr>
            </w:pPr>
            <w:r w:rsidRPr="00873AC2">
              <w:rPr>
                <w:sz w:val="22"/>
                <w:szCs w:val="22"/>
              </w:rPr>
              <w:t>1.015</w:t>
            </w:r>
          </w:p>
        </w:tc>
        <w:tc>
          <w:tcPr>
            <w:tcW w:w="1500" w:type="dxa"/>
            <w:tcMar>
              <w:top w:w="60" w:type="dxa"/>
              <w:left w:w="80" w:type="dxa"/>
              <w:bottom w:w="60" w:type="dxa"/>
              <w:right w:w="80" w:type="dxa"/>
            </w:tcMar>
          </w:tcPr>
          <w:p w14:paraId="4191D3E5" w14:textId="77777777" w:rsidR="003F1FB9" w:rsidRPr="00873AC2" w:rsidRDefault="005E0532" w:rsidP="00873AC2">
            <w:pPr>
              <w:spacing w:line="360" w:lineRule="auto"/>
              <w:jc w:val="center"/>
              <w:rPr>
                <w:sz w:val="22"/>
                <w:szCs w:val="22"/>
              </w:rPr>
            </w:pPr>
            <w:r w:rsidRPr="00873AC2">
              <w:rPr>
                <w:sz w:val="22"/>
                <w:szCs w:val="22"/>
              </w:rPr>
              <w:t>25.37%</w:t>
            </w:r>
          </w:p>
        </w:tc>
        <w:tc>
          <w:tcPr>
            <w:tcW w:w="1500" w:type="dxa"/>
            <w:tcMar>
              <w:top w:w="60" w:type="dxa"/>
              <w:left w:w="80" w:type="dxa"/>
              <w:bottom w:w="60" w:type="dxa"/>
              <w:right w:w="80" w:type="dxa"/>
            </w:tcMar>
          </w:tcPr>
          <w:p w14:paraId="127ADDF2" w14:textId="77777777" w:rsidR="003F1FB9" w:rsidRPr="00873AC2" w:rsidRDefault="005E0532" w:rsidP="00873AC2">
            <w:pPr>
              <w:spacing w:line="360" w:lineRule="auto"/>
              <w:jc w:val="center"/>
              <w:rPr>
                <w:sz w:val="22"/>
                <w:szCs w:val="22"/>
              </w:rPr>
            </w:pPr>
            <w:r w:rsidRPr="00873AC2">
              <w:rPr>
                <w:sz w:val="22"/>
                <w:szCs w:val="22"/>
              </w:rPr>
              <w:t>77.44%</w:t>
            </w:r>
          </w:p>
        </w:tc>
      </w:tr>
      <w:tr w:rsidR="003F1FB9" w:rsidRPr="00873AC2" w14:paraId="34836396" w14:textId="77777777">
        <w:tc>
          <w:tcPr>
            <w:tcW w:w="1800" w:type="dxa"/>
            <w:tcMar>
              <w:top w:w="60" w:type="dxa"/>
              <w:left w:w="80" w:type="dxa"/>
              <w:bottom w:w="60" w:type="dxa"/>
              <w:right w:w="80" w:type="dxa"/>
            </w:tcMar>
          </w:tcPr>
          <w:p w14:paraId="5F0721C5" w14:textId="77777777" w:rsidR="003F1FB9" w:rsidRPr="00873AC2" w:rsidRDefault="005E0532" w:rsidP="00873AC2">
            <w:pPr>
              <w:spacing w:line="360" w:lineRule="auto"/>
              <w:jc w:val="center"/>
              <w:rPr>
                <w:sz w:val="22"/>
                <w:szCs w:val="22"/>
              </w:rPr>
            </w:pPr>
            <w:r w:rsidRPr="00873AC2">
              <w:rPr>
                <w:sz w:val="22"/>
                <w:szCs w:val="22"/>
              </w:rPr>
              <w:t>3</w:t>
            </w:r>
          </w:p>
        </w:tc>
        <w:tc>
          <w:tcPr>
            <w:tcW w:w="1500" w:type="dxa"/>
            <w:tcMar>
              <w:top w:w="60" w:type="dxa"/>
              <w:left w:w="80" w:type="dxa"/>
              <w:bottom w:w="60" w:type="dxa"/>
              <w:right w:w="80" w:type="dxa"/>
            </w:tcMar>
          </w:tcPr>
          <w:p w14:paraId="2FA765FF" w14:textId="77777777" w:rsidR="003F1FB9" w:rsidRPr="00873AC2" w:rsidRDefault="005E0532" w:rsidP="00873AC2">
            <w:pPr>
              <w:spacing w:line="360" w:lineRule="auto"/>
              <w:jc w:val="center"/>
              <w:rPr>
                <w:sz w:val="22"/>
                <w:szCs w:val="22"/>
              </w:rPr>
            </w:pPr>
            <w:r w:rsidRPr="00873AC2">
              <w:rPr>
                <w:sz w:val="22"/>
                <w:szCs w:val="22"/>
              </w:rPr>
              <w:t>0.903</w:t>
            </w:r>
          </w:p>
        </w:tc>
        <w:tc>
          <w:tcPr>
            <w:tcW w:w="1500" w:type="dxa"/>
            <w:tcMar>
              <w:top w:w="60" w:type="dxa"/>
              <w:left w:w="80" w:type="dxa"/>
              <w:bottom w:w="60" w:type="dxa"/>
              <w:right w:w="80" w:type="dxa"/>
            </w:tcMar>
          </w:tcPr>
          <w:p w14:paraId="4400C2E6" w14:textId="77777777" w:rsidR="003F1FB9" w:rsidRPr="00873AC2" w:rsidRDefault="005E0532" w:rsidP="00873AC2">
            <w:pPr>
              <w:spacing w:line="360" w:lineRule="auto"/>
              <w:jc w:val="center"/>
              <w:rPr>
                <w:sz w:val="22"/>
                <w:szCs w:val="22"/>
              </w:rPr>
            </w:pPr>
            <w:r w:rsidRPr="00873AC2">
              <w:rPr>
                <w:sz w:val="22"/>
                <w:szCs w:val="22"/>
              </w:rPr>
              <w:t>22.56%</w:t>
            </w:r>
          </w:p>
        </w:tc>
        <w:tc>
          <w:tcPr>
            <w:tcW w:w="1500" w:type="dxa"/>
            <w:tcMar>
              <w:top w:w="60" w:type="dxa"/>
              <w:left w:w="80" w:type="dxa"/>
              <w:bottom w:w="60" w:type="dxa"/>
              <w:right w:w="80" w:type="dxa"/>
            </w:tcMar>
          </w:tcPr>
          <w:p w14:paraId="6C41D488" w14:textId="77777777" w:rsidR="003F1FB9" w:rsidRPr="00873AC2" w:rsidRDefault="005E0532" w:rsidP="00873AC2">
            <w:pPr>
              <w:spacing w:line="360" w:lineRule="auto"/>
              <w:jc w:val="center"/>
              <w:rPr>
                <w:sz w:val="22"/>
                <w:szCs w:val="22"/>
              </w:rPr>
            </w:pPr>
            <w:r w:rsidRPr="00873AC2">
              <w:rPr>
                <w:sz w:val="22"/>
                <w:szCs w:val="22"/>
              </w:rPr>
              <w:t>100.00%</w:t>
            </w:r>
          </w:p>
        </w:tc>
      </w:tr>
    </w:tbl>
    <w:p w14:paraId="17C25D74" w14:textId="77777777" w:rsidR="00B87F1C" w:rsidRDefault="00B87F1C" w:rsidP="00873AC2">
      <w:pPr>
        <w:spacing w:line="360" w:lineRule="auto"/>
        <w:rPr>
          <w:b/>
          <w:bCs/>
          <w:sz w:val="22"/>
          <w:szCs w:val="22"/>
        </w:rPr>
      </w:pPr>
    </w:p>
    <w:p w14:paraId="02DE87F5" w14:textId="5308E83D" w:rsidR="003F1FB9" w:rsidRPr="00873AC2" w:rsidRDefault="005E0532" w:rsidP="00873AC2">
      <w:pPr>
        <w:spacing w:line="360" w:lineRule="auto"/>
        <w:rPr>
          <w:sz w:val="22"/>
          <w:szCs w:val="22"/>
        </w:rPr>
      </w:pPr>
      <w:r w:rsidRPr="00873AC2">
        <w:rPr>
          <w:b/>
          <w:bCs/>
          <w:sz w:val="22"/>
          <w:szCs w:val="22"/>
        </w:rPr>
        <w:t>Tabla 12</w:t>
      </w:r>
    </w:p>
    <w:p w14:paraId="2E127050" w14:textId="77777777" w:rsidR="003F1FB9" w:rsidRPr="00873AC2" w:rsidRDefault="005E0532" w:rsidP="00873AC2">
      <w:pPr>
        <w:spacing w:line="360" w:lineRule="auto"/>
        <w:rPr>
          <w:sz w:val="22"/>
          <w:szCs w:val="22"/>
        </w:rPr>
      </w:pPr>
      <w:r w:rsidRPr="00873AC2">
        <w:rPr>
          <w:i/>
          <w:iCs/>
          <w:sz w:val="22"/>
          <w:szCs w:val="22"/>
        </w:rPr>
        <w:t>Matriz de componentes rotados (</w:t>
      </w:r>
      <w:proofErr w:type="spellStart"/>
      <w:r w:rsidRPr="00873AC2">
        <w:rPr>
          <w:i/>
          <w:iCs/>
          <w:sz w:val="22"/>
          <w:szCs w:val="22"/>
        </w:rPr>
        <w:t>Varimax</w:t>
      </w:r>
      <w:proofErr w:type="spellEnd"/>
      <w:r w:rsidRPr="00873AC2">
        <w:rPr>
          <w:i/>
          <w:iCs/>
          <w:sz w:val="22"/>
          <w:szCs w:val="22"/>
        </w:rPr>
        <w:t>)</w:t>
      </w:r>
    </w:p>
    <w:tbl>
      <w:tblPr>
        <w:tblW w:w="6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200"/>
        <w:gridCol w:w="1650"/>
        <w:gridCol w:w="1650"/>
      </w:tblGrid>
      <w:tr w:rsidR="003F1FB9" w:rsidRPr="00873AC2" w14:paraId="14A1A53E" w14:textId="77777777">
        <w:trPr>
          <w:tblHeader/>
        </w:trPr>
        <w:tc>
          <w:tcPr>
            <w:tcW w:w="3200" w:type="dxa"/>
            <w:shd w:val="clear" w:color="auto" w:fill="D9D9D9"/>
            <w:tcMar>
              <w:top w:w="60" w:type="dxa"/>
              <w:left w:w="80" w:type="dxa"/>
              <w:bottom w:w="60" w:type="dxa"/>
              <w:right w:w="80" w:type="dxa"/>
            </w:tcMar>
          </w:tcPr>
          <w:p w14:paraId="146B6A49" w14:textId="77777777" w:rsidR="003F1FB9" w:rsidRPr="00873AC2" w:rsidRDefault="005E0532" w:rsidP="00873AC2">
            <w:pPr>
              <w:spacing w:line="360" w:lineRule="auto"/>
              <w:jc w:val="center"/>
              <w:rPr>
                <w:sz w:val="22"/>
                <w:szCs w:val="22"/>
              </w:rPr>
            </w:pPr>
            <w:r w:rsidRPr="00873AC2">
              <w:rPr>
                <w:b/>
                <w:bCs/>
                <w:sz w:val="22"/>
                <w:szCs w:val="22"/>
              </w:rPr>
              <w:t>Variable</w:t>
            </w:r>
          </w:p>
        </w:tc>
        <w:tc>
          <w:tcPr>
            <w:tcW w:w="1650" w:type="dxa"/>
            <w:shd w:val="clear" w:color="auto" w:fill="D9D9D9"/>
            <w:tcMar>
              <w:top w:w="60" w:type="dxa"/>
              <w:left w:w="80" w:type="dxa"/>
              <w:bottom w:w="60" w:type="dxa"/>
              <w:right w:w="80" w:type="dxa"/>
            </w:tcMar>
          </w:tcPr>
          <w:p w14:paraId="77D925FE" w14:textId="77777777" w:rsidR="003F1FB9" w:rsidRPr="00873AC2" w:rsidRDefault="005E0532" w:rsidP="00873AC2">
            <w:pPr>
              <w:spacing w:line="360" w:lineRule="auto"/>
              <w:jc w:val="center"/>
              <w:rPr>
                <w:sz w:val="22"/>
                <w:szCs w:val="22"/>
              </w:rPr>
            </w:pPr>
            <w:r w:rsidRPr="00873AC2">
              <w:rPr>
                <w:b/>
                <w:bCs/>
                <w:sz w:val="22"/>
                <w:szCs w:val="22"/>
              </w:rPr>
              <w:t>Componente 1</w:t>
            </w:r>
          </w:p>
        </w:tc>
        <w:tc>
          <w:tcPr>
            <w:tcW w:w="1650" w:type="dxa"/>
            <w:shd w:val="clear" w:color="auto" w:fill="D9D9D9"/>
            <w:tcMar>
              <w:top w:w="60" w:type="dxa"/>
              <w:left w:w="80" w:type="dxa"/>
              <w:bottom w:w="60" w:type="dxa"/>
              <w:right w:w="80" w:type="dxa"/>
            </w:tcMar>
          </w:tcPr>
          <w:p w14:paraId="6093794F" w14:textId="77777777" w:rsidR="003F1FB9" w:rsidRPr="00873AC2" w:rsidRDefault="005E0532" w:rsidP="00873AC2">
            <w:pPr>
              <w:spacing w:line="360" w:lineRule="auto"/>
              <w:jc w:val="center"/>
              <w:rPr>
                <w:sz w:val="22"/>
                <w:szCs w:val="22"/>
              </w:rPr>
            </w:pPr>
            <w:r w:rsidRPr="00873AC2">
              <w:rPr>
                <w:b/>
                <w:bCs/>
                <w:sz w:val="22"/>
                <w:szCs w:val="22"/>
              </w:rPr>
              <w:t>Componente 2</w:t>
            </w:r>
          </w:p>
        </w:tc>
      </w:tr>
      <w:tr w:rsidR="003F1FB9" w:rsidRPr="00873AC2" w14:paraId="4DA39CE3" w14:textId="77777777">
        <w:tc>
          <w:tcPr>
            <w:tcW w:w="3200" w:type="dxa"/>
            <w:tcMar>
              <w:top w:w="60" w:type="dxa"/>
              <w:left w:w="80" w:type="dxa"/>
              <w:bottom w:w="60" w:type="dxa"/>
              <w:right w:w="80" w:type="dxa"/>
            </w:tcMar>
          </w:tcPr>
          <w:p w14:paraId="184CF153" w14:textId="77777777" w:rsidR="003F1FB9" w:rsidRPr="00873AC2" w:rsidRDefault="005E0532" w:rsidP="00873AC2">
            <w:pPr>
              <w:spacing w:line="360" w:lineRule="auto"/>
              <w:jc w:val="center"/>
              <w:rPr>
                <w:sz w:val="22"/>
                <w:szCs w:val="22"/>
              </w:rPr>
            </w:pPr>
            <w:r w:rsidRPr="00873AC2">
              <w:rPr>
                <w:sz w:val="22"/>
                <w:szCs w:val="22"/>
              </w:rPr>
              <w:t>Flujo operativo (Y1)</w:t>
            </w:r>
          </w:p>
        </w:tc>
        <w:tc>
          <w:tcPr>
            <w:tcW w:w="1650" w:type="dxa"/>
            <w:tcMar>
              <w:top w:w="60" w:type="dxa"/>
              <w:left w:w="80" w:type="dxa"/>
              <w:bottom w:w="60" w:type="dxa"/>
              <w:right w:w="80" w:type="dxa"/>
            </w:tcMar>
          </w:tcPr>
          <w:p w14:paraId="5AD2C0A9" w14:textId="77777777" w:rsidR="003F1FB9" w:rsidRPr="00873AC2" w:rsidRDefault="005E0532" w:rsidP="00873AC2">
            <w:pPr>
              <w:spacing w:line="360" w:lineRule="auto"/>
              <w:jc w:val="center"/>
              <w:rPr>
                <w:sz w:val="22"/>
                <w:szCs w:val="22"/>
              </w:rPr>
            </w:pPr>
            <w:r w:rsidRPr="00873AC2">
              <w:rPr>
                <w:sz w:val="22"/>
                <w:szCs w:val="22"/>
              </w:rPr>
              <w:t>0.696</w:t>
            </w:r>
          </w:p>
        </w:tc>
        <w:tc>
          <w:tcPr>
            <w:tcW w:w="1650" w:type="dxa"/>
            <w:tcMar>
              <w:top w:w="60" w:type="dxa"/>
              <w:left w:w="80" w:type="dxa"/>
              <w:bottom w:w="60" w:type="dxa"/>
              <w:right w:w="80" w:type="dxa"/>
            </w:tcMar>
          </w:tcPr>
          <w:p w14:paraId="6236067C" w14:textId="77777777" w:rsidR="003F1FB9" w:rsidRPr="00873AC2" w:rsidRDefault="005E0532" w:rsidP="00873AC2">
            <w:pPr>
              <w:spacing w:line="360" w:lineRule="auto"/>
              <w:jc w:val="center"/>
              <w:rPr>
                <w:sz w:val="22"/>
                <w:szCs w:val="22"/>
              </w:rPr>
            </w:pPr>
            <w:r w:rsidRPr="00873AC2">
              <w:rPr>
                <w:sz w:val="22"/>
                <w:szCs w:val="22"/>
              </w:rPr>
              <w:t>0.262</w:t>
            </w:r>
          </w:p>
        </w:tc>
      </w:tr>
      <w:tr w:rsidR="003F1FB9" w:rsidRPr="00873AC2" w14:paraId="2CE6B906" w14:textId="77777777">
        <w:tc>
          <w:tcPr>
            <w:tcW w:w="3200" w:type="dxa"/>
            <w:tcMar>
              <w:top w:w="60" w:type="dxa"/>
              <w:left w:w="80" w:type="dxa"/>
              <w:bottom w:w="60" w:type="dxa"/>
              <w:right w:w="80" w:type="dxa"/>
            </w:tcMar>
          </w:tcPr>
          <w:p w14:paraId="18C68224" w14:textId="77777777" w:rsidR="003F1FB9" w:rsidRPr="00873AC2" w:rsidRDefault="005E0532" w:rsidP="00873AC2">
            <w:pPr>
              <w:spacing w:line="360" w:lineRule="auto"/>
              <w:jc w:val="center"/>
              <w:rPr>
                <w:sz w:val="22"/>
                <w:szCs w:val="22"/>
              </w:rPr>
            </w:pPr>
            <w:r w:rsidRPr="00873AC2">
              <w:rPr>
                <w:sz w:val="22"/>
                <w:szCs w:val="22"/>
              </w:rPr>
              <w:t>Flujo de inversión (Y2)</w:t>
            </w:r>
          </w:p>
        </w:tc>
        <w:tc>
          <w:tcPr>
            <w:tcW w:w="1650" w:type="dxa"/>
            <w:tcMar>
              <w:top w:w="60" w:type="dxa"/>
              <w:left w:w="80" w:type="dxa"/>
              <w:bottom w:w="60" w:type="dxa"/>
              <w:right w:w="80" w:type="dxa"/>
            </w:tcMar>
          </w:tcPr>
          <w:p w14:paraId="127B521B" w14:textId="77777777" w:rsidR="003F1FB9" w:rsidRPr="00873AC2" w:rsidRDefault="005E0532" w:rsidP="00873AC2">
            <w:pPr>
              <w:spacing w:line="360" w:lineRule="auto"/>
              <w:jc w:val="center"/>
              <w:rPr>
                <w:sz w:val="22"/>
                <w:szCs w:val="22"/>
              </w:rPr>
            </w:pPr>
            <w:r w:rsidRPr="00873AC2">
              <w:rPr>
                <w:sz w:val="22"/>
                <w:szCs w:val="22"/>
              </w:rPr>
              <w:t>0.769</w:t>
            </w:r>
          </w:p>
        </w:tc>
        <w:tc>
          <w:tcPr>
            <w:tcW w:w="1650" w:type="dxa"/>
            <w:tcMar>
              <w:top w:w="60" w:type="dxa"/>
              <w:left w:w="80" w:type="dxa"/>
              <w:bottom w:w="60" w:type="dxa"/>
              <w:right w:w="80" w:type="dxa"/>
            </w:tcMar>
          </w:tcPr>
          <w:p w14:paraId="2009A409" w14:textId="77777777" w:rsidR="003F1FB9" w:rsidRPr="00873AC2" w:rsidRDefault="005E0532" w:rsidP="00873AC2">
            <w:pPr>
              <w:spacing w:line="360" w:lineRule="auto"/>
              <w:jc w:val="center"/>
              <w:rPr>
                <w:sz w:val="22"/>
                <w:szCs w:val="22"/>
              </w:rPr>
            </w:pPr>
            <w:r w:rsidRPr="00873AC2">
              <w:rPr>
                <w:sz w:val="22"/>
                <w:szCs w:val="22"/>
              </w:rPr>
              <w:t>–0.080</w:t>
            </w:r>
          </w:p>
        </w:tc>
      </w:tr>
      <w:tr w:rsidR="003F1FB9" w:rsidRPr="00873AC2" w14:paraId="563AF72F" w14:textId="77777777">
        <w:tc>
          <w:tcPr>
            <w:tcW w:w="3200" w:type="dxa"/>
            <w:tcMar>
              <w:top w:w="60" w:type="dxa"/>
              <w:left w:w="80" w:type="dxa"/>
              <w:bottom w:w="60" w:type="dxa"/>
              <w:right w:w="80" w:type="dxa"/>
            </w:tcMar>
          </w:tcPr>
          <w:p w14:paraId="2A54E729" w14:textId="77777777" w:rsidR="003F1FB9" w:rsidRPr="00873AC2" w:rsidRDefault="005E0532" w:rsidP="00873AC2">
            <w:pPr>
              <w:spacing w:line="360" w:lineRule="auto"/>
              <w:jc w:val="center"/>
              <w:rPr>
                <w:sz w:val="22"/>
                <w:szCs w:val="22"/>
              </w:rPr>
            </w:pPr>
            <w:r w:rsidRPr="00873AC2">
              <w:rPr>
                <w:sz w:val="22"/>
                <w:szCs w:val="22"/>
              </w:rPr>
              <w:t>Flujo de financiamiento (Y3)</w:t>
            </w:r>
          </w:p>
        </w:tc>
        <w:tc>
          <w:tcPr>
            <w:tcW w:w="1650" w:type="dxa"/>
            <w:tcMar>
              <w:top w:w="60" w:type="dxa"/>
              <w:left w:w="80" w:type="dxa"/>
              <w:bottom w:w="60" w:type="dxa"/>
              <w:right w:w="80" w:type="dxa"/>
            </w:tcMar>
          </w:tcPr>
          <w:p w14:paraId="1634CA6B" w14:textId="77777777" w:rsidR="003F1FB9" w:rsidRPr="00873AC2" w:rsidRDefault="005E0532" w:rsidP="00873AC2">
            <w:pPr>
              <w:spacing w:line="360" w:lineRule="auto"/>
              <w:jc w:val="center"/>
              <w:rPr>
                <w:sz w:val="22"/>
                <w:szCs w:val="22"/>
              </w:rPr>
            </w:pPr>
            <w:r w:rsidRPr="00873AC2">
              <w:rPr>
                <w:sz w:val="22"/>
                <w:szCs w:val="22"/>
              </w:rPr>
              <w:t>–0.999</w:t>
            </w:r>
          </w:p>
        </w:tc>
        <w:tc>
          <w:tcPr>
            <w:tcW w:w="1650" w:type="dxa"/>
            <w:tcMar>
              <w:top w:w="60" w:type="dxa"/>
              <w:left w:w="80" w:type="dxa"/>
              <w:bottom w:w="60" w:type="dxa"/>
              <w:right w:w="80" w:type="dxa"/>
            </w:tcMar>
          </w:tcPr>
          <w:p w14:paraId="02461908" w14:textId="77777777" w:rsidR="003F1FB9" w:rsidRPr="00873AC2" w:rsidRDefault="005E0532" w:rsidP="00873AC2">
            <w:pPr>
              <w:spacing w:line="360" w:lineRule="auto"/>
              <w:jc w:val="center"/>
              <w:rPr>
                <w:sz w:val="22"/>
                <w:szCs w:val="22"/>
              </w:rPr>
            </w:pPr>
            <w:r w:rsidRPr="00873AC2">
              <w:rPr>
                <w:sz w:val="22"/>
                <w:szCs w:val="22"/>
              </w:rPr>
              <w:t>0.038</w:t>
            </w:r>
          </w:p>
        </w:tc>
      </w:tr>
      <w:tr w:rsidR="003F1FB9" w:rsidRPr="00B87F1C" w14:paraId="5A21D78D" w14:textId="77777777">
        <w:tc>
          <w:tcPr>
            <w:tcW w:w="3200" w:type="dxa"/>
            <w:tcMar>
              <w:top w:w="60" w:type="dxa"/>
              <w:left w:w="80" w:type="dxa"/>
              <w:bottom w:w="60" w:type="dxa"/>
              <w:right w:w="80" w:type="dxa"/>
            </w:tcMar>
          </w:tcPr>
          <w:p w14:paraId="2F29B785" w14:textId="77777777" w:rsidR="003F1FB9" w:rsidRPr="00B87F1C" w:rsidRDefault="005E0532" w:rsidP="00873AC2">
            <w:pPr>
              <w:spacing w:line="360" w:lineRule="auto"/>
              <w:jc w:val="center"/>
              <w:rPr>
                <w:sz w:val="18"/>
                <w:szCs w:val="18"/>
              </w:rPr>
            </w:pPr>
            <w:r w:rsidRPr="00B87F1C">
              <w:rPr>
                <w:sz w:val="18"/>
                <w:szCs w:val="18"/>
              </w:rPr>
              <w:t>Flujo efectivo neto (Y4)</w:t>
            </w:r>
          </w:p>
        </w:tc>
        <w:tc>
          <w:tcPr>
            <w:tcW w:w="1650" w:type="dxa"/>
            <w:tcMar>
              <w:top w:w="60" w:type="dxa"/>
              <w:left w:w="80" w:type="dxa"/>
              <w:bottom w:w="60" w:type="dxa"/>
              <w:right w:w="80" w:type="dxa"/>
            </w:tcMar>
          </w:tcPr>
          <w:p w14:paraId="6E7233F1" w14:textId="77777777" w:rsidR="003F1FB9" w:rsidRPr="00B87F1C" w:rsidRDefault="005E0532" w:rsidP="00873AC2">
            <w:pPr>
              <w:spacing w:line="360" w:lineRule="auto"/>
              <w:jc w:val="center"/>
              <w:rPr>
                <w:sz w:val="18"/>
                <w:szCs w:val="18"/>
              </w:rPr>
            </w:pPr>
            <w:r w:rsidRPr="00B87F1C">
              <w:rPr>
                <w:sz w:val="18"/>
                <w:szCs w:val="18"/>
              </w:rPr>
              <w:t>–0.086</w:t>
            </w:r>
          </w:p>
        </w:tc>
        <w:tc>
          <w:tcPr>
            <w:tcW w:w="1650" w:type="dxa"/>
            <w:tcMar>
              <w:top w:w="60" w:type="dxa"/>
              <w:left w:w="80" w:type="dxa"/>
              <w:bottom w:w="60" w:type="dxa"/>
              <w:right w:w="80" w:type="dxa"/>
            </w:tcMar>
          </w:tcPr>
          <w:p w14:paraId="2E3FA175" w14:textId="77777777" w:rsidR="003F1FB9" w:rsidRPr="00B87F1C" w:rsidRDefault="005E0532" w:rsidP="00873AC2">
            <w:pPr>
              <w:spacing w:line="360" w:lineRule="auto"/>
              <w:jc w:val="center"/>
              <w:rPr>
                <w:sz w:val="18"/>
                <w:szCs w:val="18"/>
              </w:rPr>
            </w:pPr>
            <w:r w:rsidRPr="00B87F1C">
              <w:rPr>
                <w:sz w:val="18"/>
                <w:szCs w:val="18"/>
              </w:rPr>
              <w:t>0.969</w:t>
            </w:r>
          </w:p>
        </w:tc>
      </w:tr>
    </w:tbl>
    <w:p w14:paraId="5F571217" w14:textId="77777777" w:rsidR="003F1FB9" w:rsidRPr="00B87F1C" w:rsidRDefault="005E0532" w:rsidP="00873AC2">
      <w:pPr>
        <w:spacing w:line="360" w:lineRule="auto"/>
        <w:rPr>
          <w:sz w:val="18"/>
          <w:szCs w:val="18"/>
        </w:rPr>
      </w:pPr>
      <w:r w:rsidRPr="00B87F1C">
        <w:rPr>
          <w:i/>
          <w:iCs/>
          <w:sz w:val="18"/>
          <w:szCs w:val="18"/>
        </w:rPr>
        <w:t>Nota. Método de extracción: análisis de componentes principales; 2 componentes extraídos. Elaboración propia a partir de SPSS versión 29.</w:t>
      </w:r>
    </w:p>
    <w:p w14:paraId="72DE9009" w14:textId="77777777" w:rsidR="008F1F2D" w:rsidRPr="00B87F1C" w:rsidRDefault="008F1F2D">
      <w:pPr>
        <w:rPr>
          <w:b/>
          <w:bCs/>
          <w:sz w:val="18"/>
          <w:szCs w:val="18"/>
        </w:rPr>
      </w:pPr>
      <w:r w:rsidRPr="00B87F1C">
        <w:rPr>
          <w:b/>
          <w:bCs/>
          <w:sz w:val="18"/>
          <w:szCs w:val="18"/>
        </w:rPr>
        <w:br w:type="page"/>
      </w:r>
    </w:p>
    <w:p w14:paraId="2A5DDC57" w14:textId="5E3358B2" w:rsidR="003F1FB9" w:rsidRPr="00873AC2" w:rsidRDefault="005E0532" w:rsidP="008F1F2D">
      <w:pPr>
        <w:spacing w:line="360" w:lineRule="auto"/>
        <w:rPr>
          <w:sz w:val="22"/>
          <w:szCs w:val="22"/>
        </w:rPr>
      </w:pPr>
      <w:r w:rsidRPr="00873AC2">
        <w:rPr>
          <w:b/>
          <w:bCs/>
          <w:sz w:val="22"/>
          <w:szCs w:val="22"/>
        </w:rPr>
        <w:lastRenderedPageBreak/>
        <w:t>Figura 7</w:t>
      </w:r>
    </w:p>
    <w:p w14:paraId="6DDAC33B" w14:textId="77777777" w:rsidR="003F1FB9" w:rsidRPr="00873AC2" w:rsidRDefault="005E0532" w:rsidP="008F1F2D">
      <w:pPr>
        <w:spacing w:line="360" w:lineRule="auto"/>
        <w:rPr>
          <w:sz w:val="22"/>
          <w:szCs w:val="22"/>
        </w:rPr>
      </w:pPr>
      <w:r w:rsidRPr="00873AC2">
        <w:rPr>
          <w:i/>
          <w:iCs/>
          <w:sz w:val="22"/>
          <w:szCs w:val="22"/>
        </w:rPr>
        <w:t>Gráfico de sedimentación (</w:t>
      </w:r>
      <w:proofErr w:type="spellStart"/>
      <w:r w:rsidRPr="00873AC2">
        <w:rPr>
          <w:i/>
          <w:iCs/>
          <w:sz w:val="22"/>
          <w:szCs w:val="22"/>
        </w:rPr>
        <w:t>scree</w:t>
      </w:r>
      <w:proofErr w:type="spellEnd"/>
      <w:r w:rsidRPr="00873AC2">
        <w:rPr>
          <w:i/>
          <w:iCs/>
          <w:sz w:val="22"/>
          <w:szCs w:val="22"/>
        </w:rPr>
        <w:t xml:space="preserve"> </w:t>
      </w:r>
      <w:proofErr w:type="spellStart"/>
      <w:r w:rsidRPr="00873AC2">
        <w:rPr>
          <w:i/>
          <w:iCs/>
          <w:sz w:val="22"/>
          <w:szCs w:val="22"/>
        </w:rPr>
        <w:t>plot</w:t>
      </w:r>
      <w:proofErr w:type="spellEnd"/>
      <w:r w:rsidRPr="00873AC2">
        <w:rPr>
          <w:i/>
          <w:iCs/>
          <w:sz w:val="22"/>
          <w:szCs w:val="22"/>
        </w:rPr>
        <w:t>) del análisis de componentes principales</w:t>
      </w:r>
    </w:p>
    <w:p w14:paraId="7C808F2A" w14:textId="77777777" w:rsidR="003F1FB9" w:rsidRPr="00B87F1C" w:rsidRDefault="005E0532" w:rsidP="00B87F1C">
      <w:pPr>
        <w:spacing w:line="360" w:lineRule="auto"/>
        <w:rPr>
          <w:sz w:val="18"/>
          <w:szCs w:val="18"/>
        </w:rPr>
      </w:pPr>
      <w:r w:rsidRPr="00B87F1C">
        <w:rPr>
          <w:noProof/>
          <w:sz w:val="18"/>
          <w:szCs w:val="18"/>
        </w:rPr>
        <w:drawing>
          <wp:inline distT="0" distB="0" distL="0" distR="0" wp14:anchorId="4C7037E2" wp14:editId="081CBCAF">
            <wp:extent cx="3048000" cy="1800225"/>
            <wp:effectExtent l="0" t="0" r="0"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9"/>
                    <a:srcRect/>
                    <a:stretch>
                      <a:fillRect/>
                    </a:stretch>
                  </pic:blipFill>
                  <pic:spPr bwMode="auto">
                    <a:xfrm>
                      <a:off x="0" y="0"/>
                      <a:ext cx="3048000" cy="1800225"/>
                    </a:xfrm>
                    <a:prstGeom prst="rect">
                      <a:avLst/>
                    </a:prstGeom>
                  </pic:spPr>
                </pic:pic>
              </a:graphicData>
            </a:graphic>
          </wp:inline>
        </w:drawing>
      </w:r>
    </w:p>
    <w:p w14:paraId="6B012B47" w14:textId="6F6BA0D0" w:rsidR="003F1FB9" w:rsidRPr="00B87F1C" w:rsidRDefault="005E0532" w:rsidP="00873AC2">
      <w:pPr>
        <w:spacing w:line="360" w:lineRule="auto"/>
        <w:rPr>
          <w:i/>
          <w:iCs/>
          <w:sz w:val="18"/>
          <w:szCs w:val="18"/>
        </w:rPr>
      </w:pPr>
      <w:r w:rsidRPr="00B87F1C">
        <w:rPr>
          <w:i/>
          <w:iCs/>
          <w:sz w:val="18"/>
          <w:szCs w:val="18"/>
        </w:rPr>
        <w:t>Nota. Elaboración propia con SPSS versión 29.</w:t>
      </w:r>
    </w:p>
    <w:p w14:paraId="653FAFC5" w14:textId="4AC2A6B3" w:rsidR="005E0532" w:rsidRPr="00873AC2" w:rsidRDefault="005E0532" w:rsidP="00873AC2">
      <w:pPr>
        <w:spacing w:line="360" w:lineRule="auto"/>
        <w:ind w:firstLine="567"/>
        <w:jc w:val="both"/>
        <w:rPr>
          <w:sz w:val="22"/>
          <w:szCs w:val="22"/>
        </w:rPr>
      </w:pPr>
      <w:r w:rsidRPr="00873AC2">
        <w:rPr>
          <w:sz w:val="22"/>
          <w:szCs w:val="22"/>
        </w:rPr>
        <w:t>Los dos primeros componentes explicaron conjuntamente el 77.44% de la varianza total: el primer componente, que concentra el 52.06% de la varianza, agrupa con cargas elevadas al flujo operativo, al flujo de inversión y al flujo de financiamiento, configurando lo que puede interpretarse como un núcleo financiero estructural en el que operación, inversión y apalancamiento se articulan de manera interdependiente. El segundo componente, por su parte, concentra casi exclusivamente la variabilidad del flujo efectivo neto (carga de 0.969), lo que confirma que este último responde al balance conjunto entre los demás flujos y no a una fuente de financiamiento específica. Es importante precisar que el ACP se aplicó exclusivamente a las cuatro dimensiones del flujo de efectivo (Y1-Y4), por lo que describe la estructura interna de dicha variable y no constituye, por sí solo, una prueba adicional de la relación entre las fuentes de financiamiento y el flujo de efectivo. Esa relación se sustenta en los resultados de la correlación de Spearman y de la regresión lineal simple entre X1-X2 e Y1-Y4, presentados en la sección anterior.</w:t>
      </w:r>
    </w:p>
    <w:p w14:paraId="5746F481" w14:textId="6150CCF3" w:rsidR="003F1FB9" w:rsidRPr="00B87F1C" w:rsidRDefault="00B87F1C" w:rsidP="00B87F1C">
      <w:pPr>
        <w:spacing w:after="240" w:line="360" w:lineRule="auto"/>
        <w:jc w:val="center"/>
        <w:rPr>
          <w:sz w:val="22"/>
          <w:szCs w:val="22"/>
        </w:rPr>
      </w:pPr>
      <w:r w:rsidRPr="00B87F1C">
        <w:rPr>
          <w:b/>
          <w:bCs/>
          <w:sz w:val="22"/>
          <w:szCs w:val="22"/>
        </w:rPr>
        <w:t>DISCUSIÓN</w:t>
      </w:r>
    </w:p>
    <w:p w14:paraId="581ECDD5" w14:textId="5279A6BB" w:rsidR="003F1FB9" w:rsidRPr="00873AC2" w:rsidRDefault="005E0532" w:rsidP="00873AC2">
      <w:pPr>
        <w:spacing w:line="360" w:lineRule="auto"/>
        <w:ind w:firstLine="567"/>
        <w:jc w:val="both"/>
        <w:rPr>
          <w:sz w:val="22"/>
          <w:szCs w:val="22"/>
        </w:rPr>
      </w:pPr>
      <w:r w:rsidRPr="00873AC2">
        <w:rPr>
          <w:sz w:val="22"/>
          <w:szCs w:val="22"/>
        </w:rPr>
        <w:t xml:space="preserve">Los hallazgos obtenidos permiten sostener que las fuentes de financiamiento se relacionan con la dinámica del flujo de efectivo de </w:t>
      </w:r>
      <w:proofErr w:type="spellStart"/>
      <w:r w:rsidRPr="00873AC2">
        <w:rPr>
          <w:sz w:val="22"/>
          <w:szCs w:val="22"/>
        </w:rPr>
        <w:t>Tecport</w:t>
      </w:r>
      <w:proofErr w:type="spellEnd"/>
      <w:r w:rsidRPr="00873AC2">
        <w:rPr>
          <w:sz w:val="22"/>
          <w:szCs w:val="22"/>
        </w:rPr>
        <w:t xml:space="preserve"> Perú S.A.C., aunque no de manera lineal cuando se evalúa el flujo efectivo neto de forma aislada. Esta aparente contradicción entre los resultados correlacionales que muestran asociaciones significativas entre el financiamiento externo y los flujos operativo, de inversión y de financiamiento y los resultados de regresión que no evidencian efectos lineales sobre el flujo neto no debe interpretarse como inconsistencia metodológica, sino como evidencia de que el fenómeno estudiado responde a una lógica multivariada y no a relaciones </w:t>
      </w:r>
      <w:proofErr w:type="spellStart"/>
      <w:r w:rsidRPr="00873AC2">
        <w:rPr>
          <w:sz w:val="22"/>
          <w:szCs w:val="22"/>
        </w:rPr>
        <w:t>bivariadas</w:t>
      </w:r>
      <w:proofErr w:type="spellEnd"/>
      <w:r w:rsidRPr="00873AC2">
        <w:rPr>
          <w:sz w:val="22"/>
          <w:szCs w:val="22"/>
        </w:rPr>
        <w:t xml:space="preserve"> simples.</w:t>
      </w:r>
    </w:p>
    <w:p w14:paraId="1B9C1E2E" w14:textId="77777777" w:rsidR="0037437C" w:rsidRPr="00873AC2" w:rsidRDefault="005E0532" w:rsidP="00873AC2">
      <w:pPr>
        <w:spacing w:line="360" w:lineRule="auto"/>
        <w:ind w:firstLine="567"/>
        <w:jc w:val="both"/>
        <w:rPr>
          <w:sz w:val="22"/>
          <w:szCs w:val="22"/>
        </w:rPr>
      </w:pPr>
      <w:r w:rsidRPr="00873AC2">
        <w:rPr>
          <w:sz w:val="22"/>
          <w:szCs w:val="22"/>
        </w:rPr>
        <w:t xml:space="preserve">Esta interpretación es consistente con planteamientos previos de la literatura financiera. Myers y Majluf (1984) sostienen que la estructura de financiamiento afecta la liquidez empresarial principalmente a través de su influencia sobre las decisiones operativas y de inversión, más que mediante un efecto inmediato sobre la caja final; el hallazgo de correlaciones significativas entre </w:t>
      </w:r>
      <w:r w:rsidRPr="00873AC2">
        <w:rPr>
          <w:sz w:val="22"/>
          <w:szCs w:val="22"/>
        </w:rPr>
        <w:lastRenderedPageBreak/>
        <w:t xml:space="preserve">el financiamiento externo y los flujos operativo e inversión, frente a la ausencia de relación directa con el flujo neto, resulta coherente con dicho planteamiento. De manera similar, Salas-Molina et al. (2016) enfatizan que el flujo de efectivo debe analizarse como un sistema integrado antes </w:t>
      </w:r>
      <w:proofErr w:type="gramStart"/>
      <w:r w:rsidRPr="00873AC2">
        <w:rPr>
          <w:sz w:val="22"/>
          <w:szCs w:val="22"/>
        </w:rPr>
        <w:t>que</w:t>
      </w:r>
      <w:proofErr w:type="gramEnd"/>
      <w:r w:rsidRPr="00873AC2">
        <w:rPr>
          <w:sz w:val="22"/>
          <w:szCs w:val="22"/>
        </w:rPr>
        <w:t xml:space="preserve"> como variables independientes, lo cual respalda la decisión metodológica de complementar la regresión con el análisis de componentes principales. </w:t>
      </w:r>
    </w:p>
    <w:p w14:paraId="30CB3D78" w14:textId="744BC0D1" w:rsidR="003F1FB9" w:rsidRPr="00873AC2" w:rsidRDefault="005E0532" w:rsidP="00873AC2">
      <w:pPr>
        <w:spacing w:line="360" w:lineRule="auto"/>
        <w:ind w:firstLine="567"/>
        <w:jc w:val="both"/>
        <w:rPr>
          <w:sz w:val="22"/>
          <w:szCs w:val="22"/>
        </w:rPr>
      </w:pPr>
      <w:r w:rsidRPr="00873AC2">
        <w:rPr>
          <w:sz w:val="22"/>
          <w:szCs w:val="22"/>
        </w:rPr>
        <w:t>Desde la perspectiva de la teoría de la agencia (Jensen y Meckling, 1976), este patrón también puede interpretarse como el resultado de mecanismos de control interno que vinculan las decisiones de endeudamiento con la ejecución de proyectos de inversión específicos, en lugar de traducirse en un excedente de caja inmediato y predecible. El núcleo financiero estructural identificado mediante ACP, si bien describe la estructura interna del flujo de efectivo y no la relación con el financiamiento en sí, aporta una lectura complementaria a esta interpretación: la ausencia de significancia estadística en los modelos de regresión no equivale a ausencia de relación, sino que refleja que la asociación del financiamiento con el flujo de efectivo se manifiesta de forma indirecta, a través de su interacción con las decisiones operativas y de inversión.</w:t>
      </w:r>
    </w:p>
    <w:p w14:paraId="675F9BEF" w14:textId="078C109A" w:rsidR="005E0532" w:rsidRPr="00873AC2" w:rsidRDefault="005E0532" w:rsidP="00873AC2">
      <w:pPr>
        <w:spacing w:line="360" w:lineRule="auto"/>
        <w:ind w:firstLine="567"/>
        <w:jc w:val="both"/>
        <w:rPr>
          <w:sz w:val="22"/>
          <w:szCs w:val="22"/>
        </w:rPr>
      </w:pPr>
      <w:r w:rsidRPr="00873AC2">
        <w:rPr>
          <w:sz w:val="22"/>
          <w:szCs w:val="22"/>
        </w:rPr>
        <w:t xml:space="preserve">Estos resultados también dialogan con antecedentes empíricos previos. En línea con lo reportado por la Universidad Peruana de Ciencias Aplicadas (2024) para empresas agroexportadoras peruanas, y con lo hallado por Layza Bogarín (2020) en microempresas de transporte fluvial, la presente investigación confirma que la dependencia de financiamiento externo concentrado —en este caso, principalmente leasing financiero genera tensiones identificables sobre distintas dimensiones del flujo de caja, aun cuando su traducción en el resultado neto mensual no sea directa. </w:t>
      </w:r>
    </w:p>
    <w:p w14:paraId="59EE10AB" w14:textId="77777777" w:rsidR="003F1FB9" w:rsidRPr="00873AC2" w:rsidRDefault="005E0532" w:rsidP="00873AC2">
      <w:pPr>
        <w:spacing w:line="360" w:lineRule="auto"/>
        <w:ind w:firstLine="567"/>
        <w:jc w:val="both"/>
        <w:rPr>
          <w:sz w:val="22"/>
          <w:szCs w:val="22"/>
        </w:rPr>
      </w:pPr>
      <w:r w:rsidRPr="00873AC2">
        <w:rPr>
          <w:sz w:val="22"/>
          <w:szCs w:val="22"/>
        </w:rPr>
        <w:t>A diferencia de dichos estudios, centrados en sectores agroexportador y de microempresas, la presente investigación aporta evidencia específica para el sector portuario, caracterizado por operaciones intensivas en activos y por una alta dependencia de financiamiento estructurado a través de arrendamiento financiero, ampliando así el alcance empírico de las teorías clásicas de estructura de capital a un contexto empresarial poco explorado en la literatura peruana.</w:t>
      </w:r>
    </w:p>
    <w:p w14:paraId="1D024697" w14:textId="2365A0F0" w:rsidR="003F1FB9" w:rsidRPr="00873AC2" w:rsidRDefault="005E0532" w:rsidP="00873AC2">
      <w:pPr>
        <w:spacing w:line="360" w:lineRule="auto"/>
        <w:ind w:firstLine="567"/>
        <w:jc w:val="both"/>
        <w:rPr>
          <w:sz w:val="22"/>
          <w:szCs w:val="22"/>
        </w:rPr>
      </w:pPr>
      <w:r w:rsidRPr="00873AC2">
        <w:rPr>
          <w:sz w:val="22"/>
          <w:szCs w:val="22"/>
        </w:rPr>
        <w:t xml:space="preserve">Desde la perspectiva del ciclo de conversión de efectivo de Richards y Laughlin (1980), la elevada volatilidad observada en el flujo operativo y en el flujo de financiamiento de </w:t>
      </w:r>
      <w:proofErr w:type="spellStart"/>
      <w:r w:rsidRPr="00873AC2">
        <w:rPr>
          <w:sz w:val="22"/>
          <w:szCs w:val="22"/>
        </w:rPr>
        <w:t>Tecport</w:t>
      </w:r>
      <w:proofErr w:type="spellEnd"/>
      <w:r w:rsidRPr="00873AC2">
        <w:rPr>
          <w:sz w:val="22"/>
          <w:szCs w:val="22"/>
        </w:rPr>
        <w:t xml:space="preserve"> Perú S.A.C. sugiere una desincronización entre el ciclo de cobranza y el calendario de pagos de obligaciones financieras, fenómeno que Shin y Soenen (1998) asocian con menores niveles de eficiencia en la gestión del capital de trabajo. Esta lectura es coherente con el hallazgo de que el costo financiero, pese a ser relativamente estable en términos absolutos, no logra explicar por sí solo las variaciones del flujo neto, lo que indica que el problema de fondo no radica en el costo de la deuda, sino en la falta de sincronización temporal entre las distintas fuentes y usos de efectivo.</w:t>
      </w:r>
    </w:p>
    <w:p w14:paraId="7B5AD9DB" w14:textId="77777777" w:rsidR="003F1FB9" w:rsidRPr="00873AC2" w:rsidRDefault="005E0532" w:rsidP="00873AC2">
      <w:pPr>
        <w:spacing w:line="360" w:lineRule="auto"/>
        <w:ind w:firstLine="567"/>
        <w:jc w:val="both"/>
        <w:rPr>
          <w:sz w:val="22"/>
          <w:szCs w:val="22"/>
        </w:rPr>
      </w:pPr>
      <w:r w:rsidRPr="00873AC2">
        <w:rPr>
          <w:sz w:val="22"/>
          <w:szCs w:val="22"/>
        </w:rPr>
        <w:lastRenderedPageBreak/>
        <w:t xml:space="preserve">Que el flujo efectivo neto no muestre relación lineal directa con las fuentes de financiamiento resulta razonable si se considera que este indicador es, por definición, residual: sintetiza en un solo valor la interacción simultánea entre cobranzas, pagos operativos, amortización de deuda e inversiones puntuales. En términos gerenciales, esto significa que </w:t>
      </w:r>
      <w:proofErr w:type="spellStart"/>
      <w:r w:rsidRPr="00873AC2">
        <w:rPr>
          <w:sz w:val="22"/>
          <w:szCs w:val="22"/>
        </w:rPr>
        <w:t>Tecport</w:t>
      </w:r>
      <w:proofErr w:type="spellEnd"/>
      <w:r w:rsidRPr="00873AC2">
        <w:rPr>
          <w:sz w:val="22"/>
          <w:szCs w:val="22"/>
        </w:rPr>
        <w:t xml:space="preserve"> Perú S.A.C. depende del financiamiento externo para sostener su capacidad operativa y su ritmo de inversión, pero dicha dependencia no garantiza, por sí sola, una mejora sistemática del resultado neto de caja. Este hallazgo pone de relieve la necesidad de reforzar la programación financiera, la planificación de pagos y la gestión de cobranzas, así como de evaluar con mayor rigor el costo de oportunidad de las decisiones de inversión, en línea con lo señalado también por </w:t>
      </w:r>
      <w:proofErr w:type="spellStart"/>
      <w:r w:rsidRPr="00873AC2">
        <w:rPr>
          <w:sz w:val="22"/>
          <w:szCs w:val="22"/>
        </w:rPr>
        <w:t>Neciosup</w:t>
      </w:r>
      <w:proofErr w:type="spellEnd"/>
      <w:r w:rsidRPr="00873AC2">
        <w:rPr>
          <w:sz w:val="22"/>
          <w:szCs w:val="22"/>
        </w:rPr>
        <w:t xml:space="preserve"> Llontop et al. (2025) respecto a la centralidad del flujo operativo en la valorización y sostenibilidad financiera de una empresa, y con los principios de análisis financiero integral descritos por Wahlen et al. (2021) y Gitman y Zutter (2012).</w:t>
      </w:r>
    </w:p>
    <w:p w14:paraId="1A58C448" w14:textId="1A84AAB2" w:rsidR="005E0532" w:rsidRPr="00873AC2" w:rsidRDefault="005E0532" w:rsidP="00873AC2">
      <w:pPr>
        <w:spacing w:line="360" w:lineRule="auto"/>
        <w:ind w:firstLine="567"/>
        <w:jc w:val="both"/>
        <w:rPr>
          <w:sz w:val="22"/>
          <w:szCs w:val="22"/>
        </w:rPr>
      </w:pPr>
      <w:r w:rsidRPr="00873AC2">
        <w:rPr>
          <w:sz w:val="22"/>
          <w:szCs w:val="22"/>
        </w:rPr>
        <w:t xml:space="preserve">En conjunto, los resultados respaldan de manera parcial y diferenciada la hipótesis general del estudio: las fuentes de financiamiento se relacionan con la dinámica del flujo de efectivo de </w:t>
      </w:r>
      <w:proofErr w:type="spellStart"/>
      <w:r w:rsidRPr="00873AC2">
        <w:rPr>
          <w:sz w:val="22"/>
          <w:szCs w:val="22"/>
        </w:rPr>
        <w:t>Tecport</w:t>
      </w:r>
      <w:proofErr w:type="spellEnd"/>
      <w:r w:rsidRPr="00873AC2">
        <w:rPr>
          <w:sz w:val="22"/>
          <w:szCs w:val="22"/>
        </w:rPr>
        <w:t xml:space="preserve"> Perú S.A.C. entendida como un sistema interrelacionado, aunque las hipótesis específicas referidas a una relación directa y lineal del financiamiento externo y del costo financiero sobre el flujo neto no se validaron en los modelos de regresión. Esto no implica la inexistencia de relación entre dichas variables, sino que evidencia que dicha relación es indirecta y se manifiesta a través de la articulación conjunta de los flujos operativo, de inversión y de financiamiento. </w:t>
      </w:r>
    </w:p>
    <w:p w14:paraId="5A6ECEED" w14:textId="77777777" w:rsidR="003F1FB9" w:rsidRPr="00873AC2" w:rsidRDefault="005E0532" w:rsidP="00873AC2">
      <w:pPr>
        <w:spacing w:line="360" w:lineRule="auto"/>
        <w:ind w:firstLine="567"/>
        <w:jc w:val="both"/>
        <w:rPr>
          <w:sz w:val="22"/>
          <w:szCs w:val="22"/>
        </w:rPr>
      </w:pPr>
      <w:r w:rsidRPr="00873AC2">
        <w:rPr>
          <w:sz w:val="22"/>
          <w:szCs w:val="22"/>
        </w:rPr>
        <w:t xml:space="preserve">Estos hallazgos son relevantes no solo para </w:t>
      </w:r>
      <w:proofErr w:type="spellStart"/>
      <w:r w:rsidRPr="00873AC2">
        <w:rPr>
          <w:sz w:val="22"/>
          <w:szCs w:val="22"/>
        </w:rPr>
        <w:t>Tecport</w:t>
      </w:r>
      <w:proofErr w:type="spellEnd"/>
      <w:r w:rsidRPr="00873AC2">
        <w:rPr>
          <w:sz w:val="22"/>
          <w:szCs w:val="22"/>
        </w:rPr>
        <w:t xml:space="preserve"> Perú S.A.C., sino para organizaciones con estructuras de financiamiento similares, en la medida en que sugieren que la evaluación del riesgo financiero debe apoyarse en enfoques multivariados y no limitarse a indicadores de rentabilidad o liquidez aislados.</w:t>
      </w:r>
    </w:p>
    <w:p w14:paraId="680552F4" w14:textId="7A2FC596" w:rsidR="003F1FB9" w:rsidRPr="00873AC2" w:rsidRDefault="005E0532" w:rsidP="00B87F1C">
      <w:pPr>
        <w:spacing w:after="240" w:line="360" w:lineRule="auto"/>
        <w:jc w:val="center"/>
        <w:rPr>
          <w:sz w:val="22"/>
          <w:szCs w:val="22"/>
        </w:rPr>
      </w:pPr>
      <w:r w:rsidRPr="00873AC2">
        <w:rPr>
          <w:b/>
          <w:bCs/>
          <w:sz w:val="22"/>
          <w:szCs w:val="22"/>
        </w:rPr>
        <w:t>CONCLUSIONES</w:t>
      </w:r>
    </w:p>
    <w:p w14:paraId="2F4C5A52" w14:textId="77777777" w:rsidR="003F1FB9" w:rsidRPr="00873AC2" w:rsidRDefault="005E0532" w:rsidP="00873AC2">
      <w:pPr>
        <w:spacing w:line="360" w:lineRule="auto"/>
        <w:ind w:firstLine="567"/>
        <w:jc w:val="both"/>
        <w:rPr>
          <w:sz w:val="22"/>
          <w:szCs w:val="22"/>
        </w:rPr>
      </w:pPr>
      <w:r w:rsidRPr="00873AC2">
        <w:rPr>
          <w:sz w:val="22"/>
          <w:szCs w:val="22"/>
        </w:rPr>
        <w:t xml:space="preserve">El análisis descriptivo confirmó que los flujos de efectivo de </w:t>
      </w:r>
      <w:proofErr w:type="spellStart"/>
      <w:r w:rsidRPr="00873AC2">
        <w:rPr>
          <w:sz w:val="22"/>
          <w:szCs w:val="22"/>
        </w:rPr>
        <w:t>Tecport</w:t>
      </w:r>
      <w:proofErr w:type="spellEnd"/>
      <w:r w:rsidRPr="00873AC2">
        <w:rPr>
          <w:sz w:val="22"/>
          <w:szCs w:val="22"/>
        </w:rPr>
        <w:t xml:space="preserve"> Perú S.A.C. presentan una volatilidad elevada, particularmente en sus componentes operativo, de inversión y de financiamiento, lo que refleja ciclos financieros intensos propios de un modelo de negocio con altas exigencias de liquidez y de inversión en activos.</w:t>
      </w:r>
    </w:p>
    <w:p w14:paraId="1F31C30C" w14:textId="39C3230C" w:rsidR="003F1FB9" w:rsidRPr="00873AC2" w:rsidRDefault="005E0532" w:rsidP="00873AC2">
      <w:pPr>
        <w:spacing w:line="360" w:lineRule="auto"/>
        <w:ind w:firstLine="567"/>
        <w:jc w:val="both"/>
        <w:rPr>
          <w:sz w:val="22"/>
          <w:szCs w:val="22"/>
        </w:rPr>
      </w:pPr>
      <w:r w:rsidRPr="00873AC2">
        <w:rPr>
          <w:sz w:val="22"/>
          <w:szCs w:val="22"/>
        </w:rPr>
        <w:t>El análisis correlacional evidenció que el financiamiento externo mantiene una relación estadísticamente significativa con los componentes individuales del flujo de efectivo operativo, de inversión y de financiamiento, mientras que ni el financiamiento externo ni el costo financiero mostraron un efecto lineal directo sobre el flujo efectivo neto, lo que indica que el resultado final de caja depende de la interacción simultánea de múltiples factores y no de una sola fuente de financiamiento.</w:t>
      </w:r>
    </w:p>
    <w:p w14:paraId="5314733B" w14:textId="77777777" w:rsidR="003F1FB9" w:rsidRPr="00873AC2" w:rsidRDefault="005E0532" w:rsidP="00873AC2">
      <w:pPr>
        <w:spacing w:line="360" w:lineRule="auto"/>
        <w:ind w:firstLine="567"/>
        <w:jc w:val="both"/>
        <w:rPr>
          <w:sz w:val="22"/>
          <w:szCs w:val="22"/>
        </w:rPr>
      </w:pPr>
      <w:r w:rsidRPr="00873AC2">
        <w:rPr>
          <w:sz w:val="22"/>
          <w:szCs w:val="22"/>
        </w:rPr>
        <w:t xml:space="preserve">La correlación de Spearman evidenció que el financiamiento externo se relaciona significativamente con los flujos operativo, de inversión y de financiamiento, mientras que el </w:t>
      </w:r>
      <w:r w:rsidRPr="00873AC2">
        <w:rPr>
          <w:sz w:val="22"/>
          <w:szCs w:val="22"/>
        </w:rPr>
        <w:lastRenderedPageBreak/>
        <w:t>análisis de componentes principales, aplicado a las dimensiones del flujo de efectivo, permitió identificar un núcleo financiero estructural que agrupa dichos flujos, explicando más de la mitad de la varianza total del modelo. En conjunto, esta evidencia respalda de forma parcial y diferenciada la hipótesis general de la investigación, dado que la relación con el flujo efectivo neto no resultó significativa ni lineal, y las hipótesis específicas no se validaron en los modelos de regresión.</w:t>
      </w:r>
    </w:p>
    <w:p w14:paraId="52959066" w14:textId="77777777" w:rsidR="003F1FB9" w:rsidRDefault="005E0532" w:rsidP="00873AC2">
      <w:pPr>
        <w:spacing w:line="360" w:lineRule="auto"/>
        <w:ind w:firstLine="567"/>
        <w:jc w:val="both"/>
        <w:rPr>
          <w:sz w:val="22"/>
          <w:szCs w:val="22"/>
        </w:rPr>
      </w:pPr>
      <w:r w:rsidRPr="00873AC2">
        <w:rPr>
          <w:sz w:val="22"/>
          <w:szCs w:val="22"/>
        </w:rPr>
        <w:t>Finalmente, los resultados sugieren que empresas con estructuras de financiamiento similares —dependencia de arrendamiento financiero y crédito bancario para sostener operaciones intensivas en activos— deberían priorizar la planificación financiera integrada y el monitoreo periódico de la interacción entre sus flujos operativo, de inversión y de financiamiento, en lugar de evaluar el costo o el volumen del financiamiento como factores aislados de riesgo.</w:t>
      </w:r>
    </w:p>
    <w:p w14:paraId="019578F3" w14:textId="5E4DBF58" w:rsidR="00B87F1C" w:rsidRPr="00873AC2" w:rsidRDefault="00B87F1C" w:rsidP="00B87F1C">
      <w:pPr>
        <w:rPr>
          <w:sz w:val="22"/>
          <w:szCs w:val="22"/>
        </w:rPr>
      </w:pPr>
      <w:r>
        <w:rPr>
          <w:sz w:val="22"/>
          <w:szCs w:val="22"/>
        </w:rPr>
        <w:br w:type="page"/>
      </w:r>
    </w:p>
    <w:p w14:paraId="55C6DAA1" w14:textId="77777777" w:rsidR="003F1FB9" w:rsidRPr="00873AC2" w:rsidRDefault="005E0532" w:rsidP="00B87F1C">
      <w:pPr>
        <w:spacing w:after="240" w:line="360" w:lineRule="auto"/>
        <w:jc w:val="center"/>
        <w:rPr>
          <w:sz w:val="22"/>
          <w:szCs w:val="22"/>
          <w:lang w:val="en-US"/>
        </w:rPr>
      </w:pPr>
      <w:r w:rsidRPr="00873AC2">
        <w:rPr>
          <w:b/>
          <w:bCs/>
          <w:sz w:val="22"/>
          <w:szCs w:val="22"/>
          <w:lang w:val="en-US"/>
        </w:rPr>
        <w:lastRenderedPageBreak/>
        <w:t>REFERENCIAS</w:t>
      </w:r>
    </w:p>
    <w:p w14:paraId="48BE2642" w14:textId="40EDE2A2" w:rsidR="003F1FB9" w:rsidRPr="00873AC2" w:rsidRDefault="005E0532" w:rsidP="00B87F1C">
      <w:pPr>
        <w:spacing w:line="360" w:lineRule="auto"/>
        <w:ind w:left="567" w:hanging="567"/>
        <w:jc w:val="both"/>
        <w:rPr>
          <w:sz w:val="22"/>
          <w:szCs w:val="22"/>
          <w:lang w:val="en-US"/>
        </w:rPr>
      </w:pPr>
      <w:proofErr w:type="spellStart"/>
      <w:r w:rsidRPr="00873AC2">
        <w:rPr>
          <w:sz w:val="22"/>
          <w:szCs w:val="22"/>
          <w:lang w:val="en-US"/>
        </w:rPr>
        <w:t>Badrane</w:t>
      </w:r>
      <w:proofErr w:type="spellEnd"/>
      <w:r w:rsidRPr="00873AC2">
        <w:rPr>
          <w:sz w:val="22"/>
          <w:szCs w:val="22"/>
          <w:lang w:val="en-US"/>
        </w:rPr>
        <w:t xml:space="preserve">, L., &amp; </w:t>
      </w:r>
      <w:proofErr w:type="spellStart"/>
      <w:r w:rsidRPr="00873AC2">
        <w:rPr>
          <w:sz w:val="22"/>
          <w:szCs w:val="22"/>
          <w:lang w:val="en-US"/>
        </w:rPr>
        <w:t>Bamousse</w:t>
      </w:r>
      <w:proofErr w:type="spellEnd"/>
      <w:r w:rsidRPr="00873AC2">
        <w:rPr>
          <w:sz w:val="22"/>
          <w:szCs w:val="22"/>
          <w:lang w:val="en-US"/>
        </w:rPr>
        <w:t xml:space="preserve">, A. (2025). Innovative financing and financial performance: A new paradigm for sustainable firms [Preprint]. </w:t>
      </w:r>
      <w:proofErr w:type="spellStart"/>
      <w:r w:rsidRPr="00873AC2">
        <w:rPr>
          <w:sz w:val="22"/>
          <w:szCs w:val="22"/>
          <w:lang w:val="en-US"/>
        </w:rPr>
        <w:t>arXiv</w:t>
      </w:r>
      <w:proofErr w:type="spellEnd"/>
      <w:r w:rsidRPr="00873AC2">
        <w:rPr>
          <w:sz w:val="22"/>
          <w:szCs w:val="22"/>
          <w:lang w:val="en-US"/>
        </w:rPr>
        <w:t xml:space="preserve">. </w:t>
      </w:r>
      <w:hyperlink r:id="rId20" w:history="1">
        <w:r w:rsidR="00B87F1C" w:rsidRPr="00FA4F0C">
          <w:rPr>
            <w:rStyle w:val="Hipervnculo"/>
            <w:sz w:val="22"/>
            <w:szCs w:val="22"/>
            <w:lang w:val="en-US"/>
          </w:rPr>
          <w:t>https://arxiv.org/abs/2502.14393</w:t>
        </w:r>
      </w:hyperlink>
      <w:r w:rsidR="00B87F1C">
        <w:rPr>
          <w:sz w:val="22"/>
          <w:szCs w:val="22"/>
          <w:lang w:val="en-US"/>
        </w:rPr>
        <w:t xml:space="preserve"> </w:t>
      </w:r>
    </w:p>
    <w:p w14:paraId="41CE8EAA" w14:textId="2B7E395B"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Baker, M., &amp; Wurgler, J. (2002). Market timing and capital structure. The Journal of Finance, 57(1), 1–32. </w:t>
      </w:r>
      <w:hyperlink r:id="rId21" w:history="1">
        <w:r w:rsidR="00B87F1C" w:rsidRPr="00FA4F0C">
          <w:rPr>
            <w:rStyle w:val="Hipervnculo"/>
            <w:sz w:val="22"/>
            <w:szCs w:val="22"/>
            <w:lang w:val="en-US"/>
          </w:rPr>
          <w:t>https://doi.org/10.1111/1540-6261.00414</w:t>
        </w:r>
      </w:hyperlink>
      <w:r w:rsidR="00B87F1C">
        <w:rPr>
          <w:sz w:val="22"/>
          <w:szCs w:val="22"/>
          <w:lang w:val="en-US"/>
        </w:rPr>
        <w:t xml:space="preserve"> </w:t>
      </w:r>
    </w:p>
    <w:p w14:paraId="2C43DDAF" w14:textId="0C550F15" w:rsidR="003F1FB9" w:rsidRPr="00873AC2" w:rsidRDefault="005E0532" w:rsidP="00B87F1C">
      <w:pPr>
        <w:spacing w:line="360" w:lineRule="auto"/>
        <w:ind w:left="567" w:hanging="567"/>
        <w:jc w:val="both"/>
        <w:rPr>
          <w:sz w:val="22"/>
          <w:szCs w:val="22"/>
        </w:rPr>
      </w:pPr>
      <w:r w:rsidRPr="00873AC2">
        <w:rPr>
          <w:sz w:val="22"/>
          <w:szCs w:val="22"/>
          <w:lang w:val="en-US"/>
        </w:rPr>
        <w:t xml:space="preserve">Banco Central de </w:t>
      </w:r>
      <w:proofErr w:type="spellStart"/>
      <w:r w:rsidRPr="00873AC2">
        <w:rPr>
          <w:sz w:val="22"/>
          <w:szCs w:val="22"/>
          <w:lang w:val="en-US"/>
        </w:rPr>
        <w:t>Reserva</w:t>
      </w:r>
      <w:proofErr w:type="spellEnd"/>
      <w:r w:rsidRPr="00873AC2">
        <w:rPr>
          <w:sz w:val="22"/>
          <w:szCs w:val="22"/>
          <w:lang w:val="en-US"/>
        </w:rPr>
        <w:t xml:space="preserve"> del Perú. </w:t>
      </w:r>
      <w:r w:rsidRPr="00873AC2">
        <w:rPr>
          <w:sz w:val="22"/>
          <w:szCs w:val="22"/>
        </w:rPr>
        <w:t xml:space="preserve">(2025a). Reporte de inflación: Panorama y proyecciones macroeconómicas 2024–2025. </w:t>
      </w:r>
      <w:hyperlink r:id="rId22" w:history="1">
        <w:r w:rsidR="00B87F1C" w:rsidRPr="00FA4F0C">
          <w:rPr>
            <w:rStyle w:val="Hipervnculo"/>
            <w:sz w:val="22"/>
            <w:szCs w:val="22"/>
          </w:rPr>
          <w:t>https://www.bcrp.gob.pe/publicaciones/reporte-de-inflacion.html</w:t>
        </w:r>
      </w:hyperlink>
      <w:r w:rsidR="00B87F1C">
        <w:rPr>
          <w:sz w:val="22"/>
          <w:szCs w:val="22"/>
        </w:rPr>
        <w:t xml:space="preserve"> </w:t>
      </w:r>
    </w:p>
    <w:p w14:paraId="429C58D1" w14:textId="117EE71A" w:rsidR="003F1FB9" w:rsidRPr="00873AC2" w:rsidRDefault="005E0532" w:rsidP="00B87F1C">
      <w:pPr>
        <w:spacing w:line="360" w:lineRule="auto"/>
        <w:ind w:left="567" w:hanging="567"/>
        <w:jc w:val="both"/>
        <w:rPr>
          <w:sz w:val="22"/>
          <w:szCs w:val="22"/>
        </w:rPr>
      </w:pPr>
      <w:r w:rsidRPr="00873AC2">
        <w:rPr>
          <w:sz w:val="22"/>
          <w:szCs w:val="22"/>
        </w:rPr>
        <w:t xml:space="preserve">Banco Central de Reserva del Perú. (2025b). Reporte de estabilidad financiera. Diciembre 2024. </w:t>
      </w:r>
      <w:hyperlink r:id="rId23" w:history="1">
        <w:r w:rsidR="00B87F1C" w:rsidRPr="00FA4F0C">
          <w:rPr>
            <w:rStyle w:val="Hipervnculo"/>
            <w:sz w:val="22"/>
            <w:szCs w:val="22"/>
          </w:rPr>
          <w:t>https://www.bcrp.gob.pe/publicaciones/reporte-estabilidad-financiera.html</w:t>
        </w:r>
      </w:hyperlink>
      <w:r w:rsidR="00B87F1C">
        <w:rPr>
          <w:sz w:val="22"/>
          <w:szCs w:val="22"/>
        </w:rPr>
        <w:t xml:space="preserve"> </w:t>
      </w:r>
    </w:p>
    <w:p w14:paraId="03082664" w14:textId="77777777" w:rsidR="003F1FB9" w:rsidRPr="00873AC2" w:rsidRDefault="005E0532" w:rsidP="00B87F1C">
      <w:pPr>
        <w:spacing w:line="360" w:lineRule="auto"/>
        <w:ind w:left="567" w:hanging="567"/>
        <w:jc w:val="both"/>
        <w:rPr>
          <w:sz w:val="22"/>
          <w:szCs w:val="22"/>
        </w:rPr>
      </w:pPr>
      <w:r w:rsidRPr="00873AC2">
        <w:rPr>
          <w:sz w:val="22"/>
          <w:szCs w:val="22"/>
          <w:lang w:val="en-US"/>
        </w:rPr>
        <w:t xml:space="preserve">Brigham, E. F., &amp; Houston, J. F. (2022). Fundamentals of financial management (16th ed.). </w:t>
      </w:r>
      <w:r w:rsidRPr="00873AC2">
        <w:rPr>
          <w:sz w:val="22"/>
          <w:szCs w:val="22"/>
        </w:rPr>
        <w:t xml:space="preserve">Cengage </w:t>
      </w:r>
      <w:proofErr w:type="spellStart"/>
      <w:r w:rsidRPr="00873AC2">
        <w:rPr>
          <w:sz w:val="22"/>
          <w:szCs w:val="22"/>
        </w:rPr>
        <w:t>Learning</w:t>
      </w:r>
      <w:proofErr w:type="spellEnd"/>
      <w:r w:rsidRPr="00873AC2">
        <w:rPr>
          <w:sz w:val="22"/>
          <w:szCs w:val="22"/>
        </w:rPr>
        <w:t>.</w:t>
      </w:r>
    </w:p>
    <w:p w14:paraId="6AB58359" w14:textId="47621273" w:rsidR="003F1FB9" w:rsidRPr="00873AC2" w:rsidRDefault="005E0532" w:rsidP="00B87F1C">
      <w:pPr>
        <w:spacing w:line="360" w:lineRule="auto"/>
        <w:ind w:left="567" w:hanging="567"/>
        <w:jc w:val="both"/>
        <w:rPr>
          <w:sz w:val="22"/>
          <w:szCs w:val="22"/>
        </w:rPr>
      </w:pPr>
      <w:r w:rsidRPr="00873AC2">
        <w:rPr>
          <w:sz w:val="22"/>
          <w:szCs w:val="22"/>
        </w:rPr>
        <w:t xml:space="preserve">Cámara de Comercio de Lima. (2024, 23 de abril). Inestabilidad política afecta el crecimiento empresarial en el Perú. La Cámara. </w:t>
      </w:r>
      <w:hyperlink r:id="rId24" w:history="1">
        <w:r w:rsidR="00B87F1C" w:rsidRPr="00FA4F0C">
          <w:rPr>
            <w:rStyle w:val="Hipervnculo"/>
            <w:sz w:val="22"/>
            <w:szCs w:val="22"/>
          </w:rPr>
          <w:t>https://lacamara.pe/inestabilidad-politica-afecta-el-crecimiento-empresarial-en-el-peru/</w:t>
        </w:r>
      </w:hyperlink>
      <w:r w:rsidR="00B87F1C">
        <w:rPr>
          <w:sz w:val="22"/>
          <w:szCs w:val="22"/>
        </w:rPr>
        <w:t xml:space="preserve"> </w:t>
      </w:r>
    </w:p>
    <w:p w14:paraId="507CCFF0" w14:textId="77777777"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Gitman, L. J., &amp; Zutter, C. J. (2012). </w:t>
      </w:r>
      <w:r w:rsidRPr="00873AC2">
        <w:rPr>
          <w:sz w:val="22"/>
          <w:szCs w:val="22"/>
        </w:rPr>
        <w:t xml:space="preserve">Principios de administración financiera (12.ª ed.). </w:t>
      </w:r>
      <w:r w:rsidRPr="00873AC2">
        <w:rPr>
          <w:sz w:val="22"/>
          <w:szCs w:val="22"/>
          <w:lang w:val="en-US"/>
        </w:rPr>
        <w:t xml:space="preserve">Pearson </w:t>
      </w:r>
      <w:proofErr w:type="spellStart"/>
      <w:r w:rsidRPr="00873AC2">
        <w:rPr>
          <w:sz w:val="22"/>
          <w:szCs w:val="22"/>
          <w:lang w:val="en-US"/>
        </w:rPr>
        <w:t>Educación</w:t>
      </w:r>
      <w:proofErr w:type="spellEnd"/>
      <w:r w:rsidRPr="00873AC2">
        <w:rPr>
          <w:sz w:val="22"/>
          <w:szCs w:val="22"/>
          <w:lang w:val="en-US"/>
        </w:rPr>
        <w:t>.</w:t>
      </w:r>
    </w:p>
    <w:p w14:paraId="5F421C87" w14:textId="611C20C9"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He, S., &amp; Ausloos, M. (2017). Impact of the global crisis on SME internal vs. external financing in China. </w:t>
      </w:r>
      <w:proofErr w:type="spellStart"/>
      <w:r w:rsidRPr="00873AC2">
        <w:rPr>
          <w:sz w:val="22"/>
          <w:szCs w:val="22"/>
          <w:lang w:val="en-US"/>
        </w:rPr>
        <w:t>arXiv</w:t>
      </w:r>
      <w:proofErr w:type="spellEnd"/>
      <w:r w:rsidRPr="00873AC2">
        <w:rPr>
          <w:sz w:val="22"/>
          <w:szCs w:val="22"/>
          <w:lang w:val="en-US"/>
        </w:rPr>
        <w:t xml:space="preserve"> Preprint. </w:t>
      </w:r>
      <w:hyperlink r:id="rId25" w:history="1">
        <w:r w:rsidR="00B87F1C" w:rsidRPr="00FA4F0C">
          <w:rPr>
            <w:rStyle w:val="Hipervnculo"/>
            <w:sz w:val="22"/>
            <w:szCs w:val="22"/>
            <w:lang w:val="en-US"/>
          </w:rPr>
          <w:t>https://arxiv.org/abs/1707.06635</w:t>
        </w:r>
      </w:hyperlink>
      <w:r w:rsidR="00B87F1C">
        <w:rPr>
          <w:sz w:val="22"/>
          <w:szCs w:val="22"/>
          <w:lang w:val="en-US"/>
        </w:rPr>
        <w:t xml:space="preserve"> </w:t>
      </w:r>
    </w:p>
    <w:p w14:paraId="064D47EE" w14:textId="77777777" w:rsidR="003F1FB9" w:rsidRPr="00873AC2" w:rsidRDefault="005E0532" w:rsidP="00B87F1C">
      <w:pPr>
        <w:spacing w:line="360" w:lineRule="auto"/>
        <w:ind w:left="567" w:hanging="567"/>
        <w:jc w:val="both"/>
        <w:rPr>
          <w:sz w:val="22"/>
          <w:szCs w:val="22"/>
          <w:lang w:val="en-US"/>
        </w:rPr>
      </w:pPr>
      <w:r w:rsidRPr="00873AC2">
        <w:rPr>
          <w:sz w:val="22"/>
          <w:szCs w:val="22"/>
        </w:rPr>
        <w:t xml:space="preserve">Hernández-Sampieri, R., Fernández Collado, C., &amp; Baptista Lucio, P. (2023). Metodología de la investigación (7.ª ed.). </w:t>
      </w:r>
      <w:r w:rsidRPr="00873AC2">
        <w:rPr>
          <w:sz w:val="22"/>
          <w:szCs w:val="22"/>
          <w:lang w:val="en-US"/>
        </w:rPr>
        <w:t>McGraw-Hill.</w:t>
      </w:r>
    </w:p>
    <w:p w14:paraId="5DCD239E" w14:textId="77777777" w:rsidR="003F1FB9" w:rsidRPr="00873AC2" w:rsidRDefault="005E0532" w:rsidP="00B87F1C">
      <w:pPr>
        <w:spacing w:line="360" w:lineRule="auto"/>
        <w:ind w:left="567" w:hanging="567"/>
        <w:jc w:val="both"/>
        <w:rPr>
          <w:sz w:val="22"/>
          <w:szCs w:val="22"/>
          <w:lang w:val="pt-BR"/>
        </w:rPr>
      </w:pPr>
      <w:r w:rsidRPr="00873AC2">
        <w:rPr>
          <w:sz w:val="22"/>
          <w:szCs w:val="22"/>
          <w:lang w:val="en-US"/>
        </w:rPr>
        <w:t xml:space="preserve">International Accounting Standards Board. (2016). IAS 7: Statement of cash flows. </w:t>
      </w:r>
      <w:r w:rsidRPr="00873AC2">
        <w:rPr>
          <w:sz w:val="22"/>
          <w:szCs w:val="22"/>
          <w:lang w:val="pt-BR"/>
        </w:rPr>
        <w:t>IASB. https://www.ifrs.org/issued-standards/list-of-standards/ias-7-statement-of-cash-flows/</w:t>
      </w:r>
    </w:p>
    <w:p w14:paraId="21DC3A0B" w14:textId="363CE5D0"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Jensen, M. C., &amp; Meckling, W. H. (1976). Theory of the firm: Managerial behavior, agency costs and ownership structure. Journal of Financial Economics, 3(4), 305–360. </w:t>
      </w:r>
      <w:hyperlink r:id="rId26" w:history="1">
        <w:r w:rsidR="0037437C" w:rsidRPr="00873AC2">
          <w:rPr>
            <w:rStyle w:val="Hipervnculo"/>
            <w:sz w:val="22"/>
            <w:szCs w:val="22"/>
            <w:lang w:val="en-US"/>
          </w:rPr>
          <w:t>https://doi.org/10.1016/0304-405X(76)90026-X</w:t>
        </w:r>
      </w:hyperlink>
    </w:p>
    <w:p w14:paraId="18AB8314" w14:textId="413F40EF"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Kraus, A., &amp; Litzenberger, R. H. (1973). A state-preference model of optimal financial leverage. The Journal of Finance, 28(4), 911–922. </w:t>
      </w:r>
      <w:hyperlink r:id="rId27" w:history="1">
        <w:r w:rsidR="00B87F1C" w:rsidRPr="00FA4F0C">
          <w:rPr>
            <w:rStyle w:val="Hipervnculo"/>
            <w:sz w:val="22"/>
            <w:szCs w:val="22"/>
            <w:lang w:val="en-US"/>
          </w:rPr>
          <w:t>https://doi.org/10.1111/j.1540-6261.1973.tb01415.x</w:t>
        </w:r>
      </w:hyperlink>
      <w:r w:rsidR="00B87F1C">
        <w:rPr>
          <w:sz w:val="22"/>
          <w:szCs w:val="22"/>
          <w:lang w:val="en-US"/>
        </w:rPr>
        <w:t xml:space="preserve"> </w:t>
      </w:r>
    </w:p>
    <w:p w14:paraId="06D049E5" w14:textId="032B8261" w:rsidR="003F1FB9" w:rsidRPr="00873AC2" w:rsidRDefault="005E0532" w:rsidP="00B87F1C">
      <w:pPr>
        <w:spacing w:line="360" w:lineRule="auto"/>
        <w:ind w:left="567" w:hanging="567"/>
        <w:jc w:val="both"/>
        <w:rPr>
          <w:sz w:val="22"/>
          <w:szCs w:val="22"/>
          <w:lang w:val="pt-BR"/>
        </w:rPr>
      </w:pPr>
      <w:r w:rsidRPr="00873AC2">
        <w:rPr>
          <w:sz w:val="22"/>
          <w:szCs w:val="22"/>
          <w:lang w:val="en-US"/>
        </w:rPr>
        <w:t xml:space="preserve">Layza Bogarín, N. (2020). </w:t>
      </w:r>
      <w:r w:rsidRPr="00873AC2">
        <w:rPr>
          <w:sz w:val="22"/>
          <w:szCs w:val="22"/>
        </w:rPr>
        <w:t xml:space="preserve">Financiamiento y su influencia en la rentabilidad de las microempresas del sector terciario rubro transporte fluvial de los puertos de la ciudad de Pucallpa, 2019 [Tesis de título, Universidad Peruana Unión]. </w:t>
      </w:r>
      <w:proofErr w:type="spellStart"/>
      <w:r w:rsidRPr="00873AC2">
        <w:rPr>
          <w:sz w:val="22"/>
          <w:szCs w:val="22"/>
          <w:lang w:val="pt-BR"/>
        </w:rPr>
        <w:t>Repositorio</w:t>
      </w:r>
      <w:proofErr w:type="spellEnd"/>
      <w:r w:rsidRPr="00873AC2">
        <w:rPr>
          <w:sz w:val="22"/>
          <w:szCs w:val="22"/>
          <w:lang w:val="pt-BR"/>
        </w:rPr>
        <w:t xml:space="preserve"> </w:t>
      </w:r>
      <w:proofErr w:type="spellStart"/>
      <w:r w:rsidRPr="00873AC2">
        <w:rPr>
          <w:sz w:val="22"/>
          <w:szCs w:val="22"/>
          <w:lang w:val="pt-BR"/>
        </w:rPr>
        <w:t>UPeU</w:t>
      </w:r>
      <w:proofErr w:type="spellEnd"/>
      <w:r w:rsidRPr="00873AC2">
        <w:rPr>
          <w:sz w:val="22"/>
          <w:szCs w:val="22"/>
          <w:lang w:val="pt-BR"/>
        </w:rPr>
        <w:t xml:space="preserve">. </w:t>
      </w:r>
      <w:hyperlink r:id="rId28" w:history="1">
        <w:r w:rsidR="00B87F1C" w:rsidRPr="00FA4F0C">
          <w:rPr>
            <w:rStyle w:val="Hipervnculo"/>
            <w:sz w:val="22"/>
            <w:szCs w:val="22"/>
            <w:lang w:val="pt-BR"/>
          </w:rPr>
          <w:t>https://repositorio.upeu.edu.pe/server/api/core/bitstreams/0404da78-d93c-4700-a70b-753cfe8b5ab6/content</w:t>
        </w:r>
      </w:hyperlink>
      <w:r w:rsidR="00B87F1C">
        <w:rPr>
          <w:sz w:val="22"/>
          <w:szCs w:val="22"/>
          <w:lang w:val="pt-BR"/>
        </w:rPr>
        <w:t xml:space="preserve"> </w:t>
      </w:r>
    </w:p>
    <w:p w14:paraId="7FAF8F6F" w14:textId="546FE0CB" w:rsidR="003F1FB9" w:rsidRPr="00873AC2" w:rsidRDefault="005E0532" w:rsidP="00B87F1C">
      <w:pPr>
        <w:spacing w:line="360" w:lineRule="auto"/>
        <w:ind w:left="567" w:hanging="567"/>
        <w:jc w:val="both"/>
        <w:rPr>
          <w:sz w:val="22"/>
          <w:szCs w:val="22"/>
        </w:rPr>
      </w:pPr>
      <w:r w:rsidRPr="00873AC2">
        <w:rPr>
          <w:sz w:val="22"/>
          <w:szCs w:val="22"/>
          <w:lang w:val="pt-BR"/>
        </w:rPr>
        <w:t xml:space="preserve">López Cáceres, E. M., &amp; </w:t>
      </w:r>
      <w:proofErr w:type="spellStart"/>
      <w:r w:rsidRPr="00873AC2">
        <w:rPr>
          <w:sz w:val="22"/>
          <w:szCs w:val="22"/>
          <w:lang w:val="pt-BR"/>
        </w:rPr>
        <w:t>Ordóñez</w:t>
      </w:r>
      <w:proofErr w:type="spellEnd"/>
      <w:r w:rsidRPr="00873AC2">
        <w:rPr>
          <w:sz w:val="22"/>
          <w:szCs w:val="22"/>
          <w:lang w:val="pt-BR"/>
        </w:rPr>
        <w:t xml:space="preserve"> </w:t>
      </w:r>
      <w:proofErr w:type="spellStart"/>
      <w:r w:rsidRPr="00873AC2">
        <w:rPr>
          <w:sz w:val="22"/>
          <w:szCs w:val="22"/>
          <w:lang w:val="pt-BR"/>
        </w:rPr>
        <w:t>Campoverde</w:t>
      </w:r>
      <w:proofErr w:type="spellEnd"/>
      <w:r w:rsidRPr="00873AC2">
        <w:rPr>
          <w:sz w:val="22"/>
          <w:szCs w:val="22"/>
          <w:lang w:val="pt-BR"/>
        </w:rPr>
        <w:t xml:space="preserve">, B. C. (2022). </w:t>
      </w:r>
      <w:r w:rsidRPr="00873AC2">
        <w:rPr>
          <w:sz w:val="22"/>
          <w:szCs w:val="22"/>
        </w:rPr>
        <w:t xml:space="preserve">El uso del estado de flujo de efectivo como un instrumento de gestión financiera para la toma de decisiones en las </w:t>
      </w:r>
      <w:r w:rsidRPr="00873AC2">
        <w:rPr>
          <w:sz w:val="22"/>
          <w:szCs w:val="22"/>
        </w:rPr>
        <w:lastRenderedPageBreak/>
        <w:t xml:space="preserve">pequeñas y medianas empresas [Tesis de maestría, Universidad Politécnica Salesiana]. Repositorio UPS. </w:t>
      </w:r>
      <w:hyperlink r:id="rId29" w:history="1">
        <w:r w:rsidR="00B87F1C" w:rsidRPr="00FA4F0C">
          <w:rPr>
            <w:rStyle w:val="Hipervnculo"/>
            <w:sz w:val="22"/>
            <w:szCs w:val="22"/>
          </w:rPr>
          <w:t>https://dspace.ups.edu.ec/bitstream/123456789/22882/1/UPS-GT003866.pdf</w:t>
        </w:r>
      </w:hyperlink>
      <w:r w:rsidR="00B87F1C">
        <w:rPr>
          <w:sz w:val="22"/>
          <w:szCs w:val="22"/>
        </w:rPr>
        <w:t xml:space="preserve"> </w:t>
      </w:r>
    </w:p>
    <w:p w14:paraId="0D1E8CD7" w14:textId="05B9BD3E" w:rsidR="003F1FB9" w:rsidRPr="00873AC2" w:rsidRDefault="005E0532" w:rsidP="00B87F1C">
      <w:pPr>
        <w:spacing w:line="360" w:lineRule="auto"/>
        <w:ind w:left="567" w:hanging="567"/>
        <w:jc w:val="both"/>
        <w:rPr>
          <w:sz w:val="22"/>
          <w:szCs w:val="22"/>
        </w:rPr>
      </w:pPr>
      <w:r w:rsidRPr="00873AC2">
        <w:rPr>
          <w:sz w:val="22"/>
          <w:szCs w:val="22"/>
        </w:rPr>
        <w:t xml:space="preserve">Modigliani, F., &amp; Miller, M. H. (1958). </w:t>
      </w:r>
      <w:r w:rsidRPr="00873AC2">
        <w:rPr>
          <w:sz w:val="22"/>
          <w:szCs w:val="22"/>
          <w:lang w:val="en-US"/>
        </w:rPr>
        <w:t xml:space="preserve">The cost of capital, corporation finance and the theory of investment. </w:t>
      </w:r>
      <w:r w:rsidRPr="00873AC2">
        <w:rPr>
          <w:sz w:val="22"/>
          <w:szCs w:val="22"/>
        </w:rPr>
        <w:t xml:space="preserve">The American </w:t>
      </w:r>
      <w:proofErr w:type="spellStart"/>
      <w:r w:rsidRPr="00873AC2">
        <w:rPr>
          <w:sz w:val="22"/>
          <w:szCs w:val="22"/>
        </w:rPr>
        <w:t>Economic</w:t>
      </w:r>
      <w:proofErr w:type="spellEnd"/>
      <w:r w:rsidRPr="00873AC2">
        <w:rPr>
          <w:sz w:val="22"/>
          <w:szCs w:val="22"/>
        </w:rPr>
        <w:t xml:space="preserve"> </w:t>
      </w:r>
      <w:proofErr w:type="spellStart"/>
      <w:r w:rsidRPr="00873AC2">
        <w:rPr>
          <w:sz w:val="22"/>
          <w:szCs w:val="22"/>
        </w:rPr>
        <w:t>Review</w:t>
      </w:r>
      <w:proofErr w:type="spellEnd"/>
      <w:r w:rsidRPr="00873AC2">
        <w:rPr>
          <w:sz w:val="22"/>
          <w:szCs w:val="22"/>
        </w:rPr>
        <w:t xml:space="preserve">, 48(3), 261–297. </w:t>
      </w:r>
      <w:hyperlink r:id="rId30" w:history="1">
        <w:r w:rsidR="00B87F1C" w:rsidRPr="00FA4F0C">
          <w:rPr>
            <w:rStyle w:val="Hipervnculo"/>
            <w:sz w:val="22"/>
            <w:szCs w:val="22"/>
          </w:rPr>
          <w:t>https://www.jstor.org/stable/1809766</w:t>
        </w:r>
      </w:hyperlink>
      <w:r w:rsidR="00B87F1C">
        <w:rPr>
          <w:sz w:val="22"/>
          <w:szCs w:val="22"/>
        </w:rPr>
        <w:t xml:space="preserve"> </w:t>
      </w:r>
    </w:p>
    <w:p w14:paraId="680DBCCA" w14:textId="1108A3CD" w:rsidR="003F1FB9" w:rsidRPr="00873AC2" w:rsidRDefault="005E0532" w:rsidP="00B87F1C">
      <w:pPr>
        <w:spacing w:line="360" w:lineRule="auto"/>
        <w:ind w:left="567" w:hanging="567"/>
        <w:jc w:val="both"/>
        <w:rPr>
          <w:sz w:val="22"/>
          <w:szCs w:val="22"/>
        </w:rPr>
      </w:pPr>
      <w:r w:rsidRPr="00873AC2">
        <w:rPr>
          <w:sz w:val="22"/>
          <w:szCs w:val="22"/>
        </w:rPr>
        <w:t xml:space="preserve">Moreno Mantarí, M. J., Muñoz Guerra, E. G., Polo Nicho, W., &amp; Rodríguez Morales, E. P. (2019). Proyecto de mejora en la gestión financiera de la empresa constructora Pérez &amp; Pérez S.A.C. [Tesis de maestría, Pontificia Universidad Católica del Perú]. Repositorio PUCP. </w:t>
      </w:r>
      <w:hyperlink r:id="rId31" w:history="1">
        <w:r w:rsidR="00B87F1C" w:rsidRPr="00FA4F0C">
          <w:rPr>
            <w:rStyle w:val="Hipervnculo"/>
            <w:sz w:val="22"/>
            <w:szCs w:val="22"/>
          </w:rPr>
          <w:t>https://tesis.pucp.edu.pe/server/api/core/bitstreams/ada611bd-d2e1-4495-b1ec-117524deb846/content</w:t>
        </w:r>
      </w:hyperlink>
      <w:r w:rsidR="00B87F1C">
        <w:rPr>
          <w:sz w:val="22"/>
          <w:szCs w:val="22"/>
        </w:rPr>
        <w:t xml:space="preserve"> </w:t>
      </w:r>
    </w:p>
    <w:p w14:paraId="7210836C" w14:textId="28124272" w:rsidR="003F1FB9" w:rsidRPr="00873AC2" w:rsidRDefault="005E0532" w:rsidP="00B87F1C">
      <w:pPr>
        <w:spacing w:line="360" w:lineRule="auto"/>
        <w:ind w:left="567" w:hanging="567"/>
        <w:jc w:val="both"/>
        <w:rPr>
          <w:sz w:val="22"/>
          <w:szCs w:val="22"/>
          <w:lang w:val="en-US"/>
        </w:rPr>
      </w:pPr>
      <w:r w:rsidRPr="00873AC2">
        <w:rPr>
          <w:sz w:val="22"/>
          <w:szCs w:val="22"/>
        </w:rPr>
        <w:t xml:space="preserve">Myers, S. C., &amp; Majluf, N. S. (1984). </w:t>
      </w:r>
      <w:r w:rsidRPr="00873AC2">
        <w:rPr>
          <w:sz w:val="22"/>
          <w:szCs w:val="22"/>
          <w:lang w:val="en-US"/>
        </w:rPr>
        <w:t xml:space="preserve">Corporate financing and investment decisions when firms have information that investors do not have. Journal of Financial Economics, 13(2), 187–221. </w:t>
      </w:r>
      <w:hyperlink r:id="rId32" w:history="1">
        <w:r w:rsidR="00B87F1C" w:rsidRPr="00FA4F0C">
          <w:rPr>
            <w:rStyle w:val="Hipervnculo"/>
            <w:sz w:val="22"/>
            <w:szCs w:val="22"/>
            <w:lang w:val="en-US"/>
          </w:rPr>
          <w:t>https://doi.org/10.1016/0304-405X(84)90023-0</w:t>
        </w:r>
      </w:hyperlink>
      <w:r w:rsidR="00B87F1C">
        <w:rPr>
          <w:sz w:val="22"/>
          <w:szCs w:val="22"/>
          <w:lang w:val="en-US"/>
        </w:rPr>
        <w:t xml:space="preserve"> </w:t>
      </w:r>
    </w:p>
    <w:p w14:paraId="7E8EB19A" w14:textId="4033CC89" w:rsidR="003F1FB9" w:rsidRPr="00873AC2" w:rsidRDefault="005E0532" w:rsidP="00B87F1C">
      <w:pPr>
        <w:spacing w:line="360" w:lineRule="auto"/>
        <w:ind w:left="567" w:hanging="567"/>
        <w:jc w:val="both"/>
        <w:rPr>
          <w:sz w:val="22"/>
          <w:szCs w:val="22"/>
        </w:rPr>
      </w:pPr>
      <w:proofErr w:type="spellStart"/>
      <w:r w:rsidRPr="00873AC2">
        <w:rPr>
          <w:sz w:val="22"/>
          <w:szCs w:val="22"/>
          <w:lang w:val="en-US"/>
        </w:rPr>
        <w:t>Neciosup</w:t>
      </w:r>
      <w:proofErr w:type="spellEnd"/>
      <w:r w:rsidRPr="00873AC2">
        <w:rPr>
          <w:sz w:val="22"/>
          <w:szCs w:val="22"/>
          <w:lang w:val="en-US"/>
        </w:rPr>
        <w:t xml:space="preserve"> Llontop, M. F., Cotrina Muñoz, E. M., &amp; Bermejo Bardales, D. L. (2025). </w:t>
      </w:r>
      <w:r w:rsidRPr="00873AC2">
        <w:rPr>
          <w:sz w:val="22"/>
          <w:szCs w:val="22"/>
        </w:rPr>
        <w:t xml:space="preserve">Valorización de la empresa Hermes Transportes Blindados S.A. [Trabajo de investigación, Universidad del Pacífico]. Repositorio UP. </w:t>
      </w:r>
      <w:hyperlink r:id="rId33" w:history="1">
        <w:r w:rsidR="0037437C" w:rsidRPr="00873AC2">
          <w:rPr>
            <w:rStyle w:val="Hipervnculo"/>
            <w:sz w:val="22"/>
            <w:szCs w:val="22"/>
          </w:rPr>
          <w:t>https://repositorio.up.edu.pe/item/a34987cc-558e-4760-86ac-51d0780380fd</w:t>
        </w:r>
      </w:hyperlink>
    </w:p>
    <w:p w14:paraId="43406C63" w14:textId="77777777" w:rsidR="003F1FB9" w:rsidRPr="00873AC2" w:rsidRDefault="005E0532" w:rsidP="00B87F1C">
      <w:pPr>
        <w:spacing w:line="360" w:lineRule="auto"/>
        <w:ind w:left="567" w:hanging="567"/>
        <w:jc w:val="both"/>
        <w:rPr>
          <w:sz w:val="22"/>
          <w:szCs w:val="22"/>
          <w:lang w:val="en-US"/>
        </w:rPr>
      </w:pPr>
      <w:r w:rsidRPr="00873AC2">
        <w:rPr>
          <w:sz w:val="22"/>
          <w:szCs w:val="22"/>
        </w:rPr>
        <w:t xml:space="preserve">Ramos, J. (2018). Análisis financiero aplicado a las organizaciones. </w:t>
      </w:r>
      <w:r w:rsidRPr="00873AC2">
        <w:rPr>
          <w:sz w:val="22"/>
          <w:szCs w:val="22"/>
          <w:lang w:val="en-US"/>
        </w:rPr>
        <w:t>Editorial UOC.</w:t>
      </w:r>
    </w:p>
    <w:p w14:paraId="198AED28" w14:textId="0B8E930F"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Richards, V. D., &amp; Laughlin, E. J. (1980). A cash conversion cycle approach to liquidity analysis. Financial Management, 9(1), 32–38. </w:t>
      </w:r>
      <w:hyperlink r:id="rId34" w:history="1">
        <w:r w:rsidR="00B87F1C" w:rsidRPr="00FA4F0C">
          <w:rPr>
            <w:rStyle w:val="Hipervnculo"/>
            <w:sz w:val="22"/>
            <w:szCs w:val="22"/>
            <w:lang w:val="en-US"/>
          </w:rPr>
          <w:t>https://doi.org/10.2307/3665310</w:t>
        </w:r>
      </w:hyperlink>
      <w:r w:rsidR="00B87F1C">
        <w:rPr>
          <w:sz w:val="22"/>
          <w:szCs w:val="22"/>
          <w:lang w:val="en-US"/>
        </w:rPr>
        <w:t xml:space="preserve"> </w:t>
      </w:r>
    </w:p>
    <w:p w14:paraId="01B8CD2F" w14:textId="77777777" w:rsidR="003F1FB9" w:rsidRPr="00873AC2" w:rsidRDefault="005E0532" w:rsidP="00B87F1C">
      <w:pPr>
        <w:spacing w:line="360" w:lineRule="auto"/>
        <w:ind w:left="567" w:hanging="567"/>
        <w:jc w:val="both"/>
        <w:rPr>
          <w:sz w:val="22"/>
          <w:szCs w:val="22"/>
          <w:lang w:val="en-US"/>
        </w:rPr>
      </w:pPr>
      <w:r w:rsidRPr="00873AC2">
        <w:rPr>
          <w:sz w:val="22"/>
          <w:szCs w:val="22"/>
          <w:lang w:val="en-US"/>
        </w:rPr>
        <w:t xml:space="preserve">Ross, S. A., </w:t>
      </w:r>
      <w:proofErr w:type="spellStart"/>
      <w:r w:rsidRPr="00873AC2">
        <w:rPr>
          <w:sz w:val="22"/>
          <w:szCs w:val="22"/>
          <w:lang w:val="en-US"/>
        </w:rPr>
        <w:t>Westerfield</w:t>
      </w:r>
      <w:proofErr w:type="spellEnd"/>
      <w:r w:rsidRPr="00873AC2">
        <w:rPr>
          <w:sz w:val="22"/>
          <w:szCs w:val="22"/>
          <w:lang w:val="en-US"/>
        </w:rPr>
        <w:t>, R. W., &amp; Jordan, B. D. (2022). Corporate finance (13th ed.). McGraw-Hill Education.</w:t>
      </w:r>
    </w:p>
    <w:p w14:paraId="29A439A6" w14:textId="7A1E9B45" w:rsidR="003F1FB9" w:rsidRPr="00873AC2" w:rsidRDefault="005E0532" w:rsidP="00B87F1C">
      <w:pPr>
        <w:spacing w:line="360" w:lineRule="auto"/>
        <w:ind w:left="567" w:hanging="567"/>
        <w:jc w:val="both"/>
        <w:rPr>
          <w:sz w:val="22"/>
          <w:szCs w:val="22"/>
          <w:lang w:val="en-US"/>
        </w:rPr>
      </w:pPr>
      <w:r w:rsidRPr="00873AC2">
        <w:rPr>
          <w:sz w:val="22"/>
          <w:szCs w:val="22"/>
        </w:rPr>
        <w:t xml:space="preserve">Salas-Molina, F., Rodríguez-Aguilar, J. A., &amp; Pla, A. (2016). </w:t>
      </w:r>
      <w:r w:rsidRPr="00873AC2">
        <w:rPr>
          <w:sz w:val="22"/>
          <w:szCs w:val="22"/>
          <w:lang w:val="en-US"/>
        </w:rPr>
        <w:t xml:space="preserve">A decision support system for financial cash flow management. Applied Soft Computing, 49, 1142–1152. </w:t>
      </w:r>
      <w:hyperlink r:id="rId35" w:history="1">
        <w:r w:rsidR="00B87F1C" w:rsidRPr="00FA4F0C">
          <w:rPr>
            <w:rStyle w:val="Hipervnculo"/>
            <w:sz w:val="22"/>
            <w:szCs w:val="22"/>
            <w:lang w:val="en-US"/>
          </w:rPr>
          <w:t>https://doi.org/10.1016/j.asoc.2016.09.030</w:t>
        </w:r>
      </w:hyperlink>
      <w:r w:rsidR="00B87F1C">
        <w:rPr>
          <w:sz w:val="22"/>
          <w:szCs w:val="22"/>
          <w:lang w:val="en-US"/>
        </w:rPr>
        <w:t xml:space="preserve"> </w:t>
      </w:r>
    </w:p>
    <w:p w14:paraId="1C446A47" w14:textId="4B39D75D" w:rsidR="003F1FB9" w:rsidRPr="00873AC2" w:rsidRDefault="005E0532" w:rsidP="00B87F1C">
      <w:pPr>
        <w:spacing w:line="360" w:lineRule="auto"/>
        <w:ind w:left="567" w:hanging="567"/>
        <w:jc w:val="both"/>
        <w:rPr>
          <w:sz w:val="22"/>
          <w:szCs w:val="22"/>
        </w:rPr>
      </w:pPr>
      <w:r w:rsidRPr="00873AC2">
        <w:rPr>
          <w:sz w:val="22"/>
          <w:szCs w:val="22"/>
          <w:lang w:val="en-US"/>
        </w:rPr>
        <w:t xml:space="preserve">Sampson, L. (2024, 9 de </w:t>
      </w:r>
      <w:proofErr w:type="spellStart"/>
      <w:r w:rsidRPr="00873AC2">
        <w:rPr>
          <w:sz w:val="22"/>
          <w:szCs w:val="22"/>
          <w:lang w:val="en-US"/>
        </w:rPr>
        <w:t>febrero</w:t>
      </w:r>
      <w:proofErr w:type="spellEnd"/>
      <w:r w:rsidRPr="00873AC2">
        <w:rPr>
          <w:sz w:val="22"/>
          <w:szCs w:val="22"/>
          <w:lang w:val="en-US"/>
        </w:rPr>
        <w:t xml:space="preserve">). </w:t>
      </w:r>
      <w:r w:rsidRPr="00873AC2">
        <w:rPr>
          <w:sz w:val="22"/>
          <w:szCs w:val="22"/>
        </w:rPr>
        <w:t xml:space="preserve">Principales desafíos para los directores financieros (CFO) en 2024. Oracle América Latina. </w:t>
      </w:r>
      <w:hyperlink r:id="rId36" w:history="1">
        <w:r w:rsidR="00B87F1C" w:rsidRPr="00FA4F0C">
          <w:rPr>
            <w:rStyle w:val="Hipervnculo"/>
            <w:sz w:val="22"/>
            <w:szCs w:val="22"/>
          </w:rPr>
          <w:t>https://www.oracle.com/latam/erp/cfo/cfo-challenges/</w:t>
        </w:r>
      </w:hyperlink>
      <w:r w:rsidR="00B87F1C">
        <w:rPr>
          <w:sz w:val="22"/>
          <w:szCs w:val="22"/>
        </w:rPr>
        <w:t xml:space="preserve"> </w:t>
      </w:r>
    </w:p>
    <w:p w14:paraId="07ADEF87" w14:textId="77777777" w:rsidR="003F1FB9" w:rsidRPr="00873AC2" w:rsidRDefault="005E0532" w:rsidP="00B87F1C">
      <w:pPr>
        <w:spacing w:line="360" w:lineRule="auto"/>
        <w:ind w:left="567" w:hanging="567"/>
        <w:jc w:val="both"/>
        <w:rPr>
          <w:sz w:val="22"/>
          <w:szCs w:val="22"/>
        </w:rPr>
      </w:pPr>
      <w:r w:rsidRPr="00873AC2">
        <w:rPr>
          <w:sz w:val="22"/>
          <w:szCs w:val="22"/>
        </w:rPr>
        <w:t xml:space="preserve">Shin, H. H., &amp; Soenen, L. (1998). </w:t>
      </w:r>
      <w:r w:rsidRPr="00873AC2">
        <w:rPr>
          <w:sz w:val="22"/>
          <w:szCs w:val="22"/>
          <w:lang w:val="en-US"/>
        </w:rPr>
        <w:t xml:space="preserve">Efficiency of working capital management and corporate profitability. </w:t>
      </w:r>
      <w:proofErr w:type="spellStart"/>
      <w:r w:rsidRPr="00873AC2">
        <w:rPr>
          <w:sz w:val="22"/>
          <w:szCs w:val="22"/>
        </w:rPr>
        <w:t>Financial</w:t>
      </w:r>
      <w:proofErr w:type="spellEnd"/>
      <w:r w:rsidRPr="00873AC2">
        <w:rPr>
          <w:sz w:val="22"/>
          <w:szCs w:val="22"/>
        </w:rPr>
        <w:t xml:space="preserve"> </w:t>
      </w:r>
      <w:proofErr w:type="spellStart"/>
      <w:r w:rsidRPr="00873AC2">
        <w:rPr>
          <w:sz w:val="22"/>
          <w:szCs w:val="22"/>
        </w:rPr>
        <w:t>Practice</w:t>
      </w:r>
      <w:proofErr w:type="spellEnd"/>
      <w:r w:rsidRPr="00873AC2">
        <w:rPr>
          <w:sz w:val="22"/>
          <w:szCs w:val="22"/>
        </w:rPr>
        <w:t xml:space="preserve"> and </w:t>
      </w:r>
      <w:proofErr w:type="spellStart"/>
      <w:r w:rsidRPr="00873AC2">
        <w:rPr>
          <w:sz w:val="22"/>
          <w:szCs w:val="22"/>
        </w:rPr>
        <w:t>Education</w:t>
      </w:r>
      <w:proofErr w:type="spellEnd"/>
      <w:r w:rsidRPr="00873AC2">
        <w:rPr>
          <w:sz w:val="22"/>
          <w:szCs w:val="22"/>
        </w:rPr>
        <w:t>, 8(2), 37–45.</w:t>
      </w:r>
    </w:p>
    <w:p w14:paraId="36CAB754" w14:textId="748A5CEB" w:rsidR="003F1FB9" w:rsidRPr="00873AC2" w:rsidRDefault="005E0532" w:rsidP="00B87F1C">
      <w:pPr>
        <w:spacing w:line="360" w:lineRule="auto"/>
        <w:ind w:left="567" w:hanging="567"/>
        <w:jc w:val="both"/>
        <w:rPr>
          <w:sz w:val="22"/>
          <w:szCs w:val="22"/>
          <w:lang w:val="pt-BR"/>
        </w:rPr>
      </w:pPr>
      <w:r w:rsidRPr="00873AC2">
        <w:rPr>
          <w:sz w:val="22"/>
          <w:szCs w:val="22"/>
        </w:rPr>
        <w:t xml:space="preserve">Universidad Peruana de Ciencias Aplicadas. (2024). Impacto de las fuentes de financiamiento externas en la liquidez y rentabilidad [Tesis]. </w:t>
      </w:r>
      <w:proofErr w:type="spellStart"/>
      <w:r w:rsidRPr="00873AC2">
        <w:rPr>
          <w:sz w:val="22"/>
          <w:szCs w:val="22"/>
          <w:lang w:val="pt-BR"/>
        </w:rPr>
        <w:t>Repositorio</w:t>
      </w:r>
      <w:proofErr w:type="spellEnd"/>
      <w:r w:rsidRPr="00873AC2">
        <w:rPr>
          <w:sz w:val="22"/>
          <w:szCs w:val="22"/>
          <w:lang w:val="pt-BR"/>
        </w:rPr>
        <w:t xml:space="preserve"> UPC. </w:t>
      </w:r>
      <w:hyperlink r:id="rId37" w:history="1">
        <w:r w:rsidR="00B87F1C" w:rsidRPr="00FA4F0C">
          <w:rPr>
            <w:rStyle w:val="Hipervnculo"/>
            <w:sz w:val="22"/>
            <w:szCs w:val="22"/>
            <w:lang w:val="pt-BR"/>
          </w:rPr>
          <w:t>https://repositorioacademico.upc.edu.pe/handle/10757/675867</w:t>
        </w:r>
      </w:hyperlink>
      <w:r w:rsidR="00B87F1C">
        <w:rPr>
          <w:sz w:val="22"/>
          <w:szCs w:val="22"/>
          <w:lang w:val="pt-BR"/>
        </w:rPr>
        <w:t xml:space="preserve"> </w:t>
      </w:r>
    </w:p>
    <w:p w14:paraId="19E7EE94" w14:textId="77777777" w:rsidR="003F1FB9" w:rsidRPr="00873AC2" w:rsidRDefault="005E0532" w:rsidP="00B87F1C">
      <w:pPr>
        <w:spacing w:line="360" w:lineRule="auto"/>
        <w:ind w:left="567" w:hanging="567"/>
        <w:jc w:val="both"/>
        <w:rPr>
          <w:sz w:val="22"/>
          <w:szCs w:val="22"/>
          <w:lang w:val="en-US"/>
        </w:rPr>
      </w:pPr>
      <w:r w:rsidRPr="00873AC2">
        <w:rPr>
          <w:sz w:val="22"/>
          <w:szCs w:val="22"/>
          <w:lang w:val="pt-BR"/>
        </w:rPr>
        <w:t xml:space="preserve">Van Horne, J. C., &amp; </w:t>
      </w:r>
      <w:proofErr w:type="spellStart"/>
      <w:r w:rsidRPr="00873AC2">
        <w:rPr>
          <w:sz w:val="22"/>
          <w:szCs w:val="22"/>
          <w:lang w:val="pt-BR"/>
        </w:rPr>
        <w:t>Wachowicz</w:t>
      </w:r>
      <w:proofErr w:type="spellEnd"/>
      <w:r w:rsidRPr="00873AC2">
        <w:rPr>
          <w:sz w:val="22"/>
          <w:szCs w:val="22"/>
          <w:lang w:val="pt-BR"/>
        </w:rPr>
        <w:t xml:space="preserve">, J. M., Jr. </w:t>
      </w:r>
      <w:r w:rsidRPr="00873AC2">
        <w:rPr>
          <w:sz w:val="22"/>
          <w:szCs w:val="22"/>
          <w:lang w:val="en-US"/>
        </w:rPr>
        <w:t>(2009). Fundamentals of financial management (13th ed.). Pearson Education.</w:t>
      </w:r>
    </w:p>
    <w:p w14:paraId="71B86E2B" w14:textId="77777777" w:rsidR="003F1FB9" w:rsidRPr="00873AC2" w:rsidRDefault="005E0532" w:rsidP="00B87F1C">
      <w:pPr>
        <w:spacing w:line="360" w:lineRule="auto"/>
        <w:ind w:left="567" w:hanging="567"/>
        <w:jc w:val="both"/>
        <w:rPr>
          <w:sz w:val="22"/>
          <w:szCs w:val="22"/>
          <w:lang w:val="en-US"/>
        </w:rPr>
      </w:pPr>
      <w:r w:rsidRPr="00873AC2">
        <w:rPr>
          <w:sz w:val="22"/>
          <w:szCs w:val="22"/>
          <w:lang w:val="en-US"/>
        </w:rPr>
        <w:t>Wahlen, J. M., Baginski, S. P., &amp; Bradshaw, M. T. (2021). Financial reporting, financial statement analysis, and valuation (10th ed.). Cengage Learning.</w:t>
      </w:r>
    </w:p>
    <w:p w14:paraId="4B674F9F" w14:textId="77A4A5F6" w:rsidR="003F1FB9" w:rsidRPr="00873AC2" w:rsidRDefault="005E0532" w:rsidP="00B87F1C">
      <w:pPr>
        <w:spacing w:line="360" w:lineRule="auto"/>
        <w:ind w:left="567" w:hanging="567"/>
        <w:jc w:val="both"/>
        <w:rPr>
          <w:sz w:val="22"/>
          <w:szCs w:val="22"/>
          <w:lang w:val="en-US"/>
        </w:rPr>
      </w:pPr>
      <w:proofErr w:type="spellStart"/>
      <w:r w:rsidRPr="00873AC2">
        <w:rPr>
          <w:sz w:val="22"/>
          <w:szCs w:val="22"/>
          <w:lang w:val="en-US"/>
        </w:rPr>
        <w:lastRenderedPageBreak/>
        <w:t>Yeltekin</w:t>
      </w:r>
      <w:proofErr w:type="spellEnd"/>
      <w:r w:rsidRPr="00873AC2">
        <w:rPr>
          <w:sz w:val="22"/>
          <w:szCs w:val="22"/>
          <w:lang w:val="en-US"/>
        </w:rPr>
        <w:t xml:space="preserve">, S. (2022, April 20). A modern approach to corporate finance: Strategic financial management in changing markets. Simon Business School Blog. </w:t>
      </w:r>
      <w:hyperlink r:id="rId38" w:history="1">
        <w:r w:rsidR="00B87F1C" w:rsidRPr="00FA4F0C">
          <w:rPr>
            <w:rStyle w:val="Hipervnculo"/>
            <w:sz w:val="22"/>
            <w:szCs w:val="22"/>
            <w:lang w:val="en-US"/>
          </w:rPr>
          <w:t>https://simon.rochester.edu/blog/deans-corner/modern-approach-corporate-finance</w:t>
        </w:r>
      </w:hyperlink>
      <w:r w:rsidR="00B87F1C">
        <w:rPr>
          <w:sz w:val="22"/>
          <w:szCs w:val="22"/>
          <w:lang w:val="en-US"/>
        </w:rPr>
        <w:t xml:space="preserve"> </w:t>
      </w:r>
    </w:p>
    <w:sectPr w:rsidR="003F1FB9" w:rsidRPr="00873AC2" w:rsidSect="007B59AE">
      <w:footerReference w:type="default" r:id="rId39"/>
      <w:pgSz w:w="11906" w:h="16838" w:code="9"/>
      <w:pgMar w:top="1417" w:right="1701" w:bottom="1417" w:left="1701" w:header="708" w:footer="708" w:gutter="0"/>
      <w:pgNumType w:start="94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72FACA" w14:textId="77777777" w:rsidR="00357FAD" w:rsidRDefault="00357FAD" w:rsidP="00B87F1C">
      <w:r>
        <w:separator/>
      </w:r>
    </w:p>
  </w:endnote>
  <w:endnote w:type="continuationSeparator" w:id="0">
    <w:p w14:paraId="191D47C2" w14:textId="77777777" w:rsidR="00357FAD" w:rsidRDefault="00357FAD" w:rsidP="00B87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CAB707" w14:textId="4436CE97" w:rsidR="00B87F1C" w:rsidRPr="00B87F1C" w:rsidRDefault="00B87F1C" w:rsidP="00B87F1C">
    <w:pPr>
      <w:pBdr>
        <w:top w:val="nil"/>
        <w:left w:val="nil"/>
        <w:bottom w:val="nil"/>
        <w:right w:val="nil"/>
        <w:between w:val="nil"/>
      </w:pBdr>
      <w:tabs>
        <w:tab w:val="center" w:pos="4252"/>
        <w:tab w:val="right" w:pos="8504"/>
      </w:tabs>
      <w:jc w:val="right"/>
      <w:rPr>
        <w:color w:val="F2F2F2"/>
      </w:rPr>
    </w:pPr>
    <w:r w:rsidRPr="00715D5B">
      <w:rPr>
        <w:noProof/>
        <w:lang w:val="es-PY"/>
      </w:rPr>
      <w:drawing>
        <wp:anchor distT="0" distB="0" distL="0" distR="0" simplePos="0" relativeHeight="251659264" behindDoc="1" locked="0" layoutInCell="1" hidden="0" allowOverlap="1" wp14:anchorId="5E526835" wp14:editId="1A74B4D0">
          <wp:simplePos x="0" y="0"/>
          <wp:positionH relativeFrom="column">
            <wp:posOffset>-1353819</wp:posOffset>
          </wp:positionH>
          <wp:positionV relativeFrom="paragraph">
            <wp:posOffset>-227445</wp:posOffset>
          </wp:positionV>
          <wp:extent cx="8244189" cy="1089660"/>
          <wp:effectExtent l="0" t="0" r="0" b="0"/>
          <wp:wrapNone/>
          <wp:docPr id="213671358"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8244189" cy="1089660"/>
                  </a:xfrm>
                  <a:prstGeom prst="rect">
                    <a:avLst/>
                  </a:prstGeom>
                  <a:ln/>
                </pic:spPr>
              </pic:pic>
            </a:graphicData>
          </a:graphic>
        </wp:anchor>
      </w:drawing>
    </w:r>
    <w:r w:rsidRPr="00715D5B">
      <w:rPr>
        <w:color w:val="F2F2F2"/>
      </w:rPr>
      <w:t xml:space="preserve">Vol. 13/ Núm. 3 2026 pág. </w:t>
    </w:r>
    <w:r w:rsidRPr="00715D5B">
      <w:rPr>
        <w:color w:val="F2F2F2"/>
      </w:rPr>
      <w:fldChar w:fldCharType="begin"/>
    </w:r>
    <w:r w:rsidRPr="00715D5B">
      <w:rPr>
        <w:color w:val="F2F2F2"/>
      </w:rPr>
      <w:instrText>PAGE</w:instrText>
    </w:r>
    <w:r w:rsidRPr="00715D5B">
      <w:rPr>
        <w:color w:val="F2F2F2"/>
      </w:rPr>
      <w:fldChar w:fldCharType="separate"/>
    </w:r>
    <w:r>
      <w:rPr>
        <w:color w:val="F2F2F2"/>
      </w:rPr>
      <w:t>1</w:t>
    </w:r>
    <w:r w:rsidRPr="00715D5B">
      <w:rPr>
        <w:color w:val="F2F2F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F79626" w14:textId="77777777" w:rsidR="00357FAD" w:rsidRDefault="00357FAD" w:rsidP="00B87F1C">
      <w:r>
        <w:separator/>
      </w:r>
    </w:p>
  </w:footnote>
  <w:footnote w:type="continuationSeparator" w:id="0">
    <w:p w14:paraId="1D94E35A" w14:textId="77777777" w:rsidR="00357FAD" w:rsidRDefault="00357FAD" w:rsidP="00B87F1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11B0CE1"/>
    <w:multiLevelType w:val="hybridMultilevel"/>
    <w:tmpl w:val="A17ECB58"/>
    <w:lvl w:ilvl="0" w:tplc="7668D1AE">
      <w:start w:val="1"/>
      <w:numFmt w:val="bullet"/>
      <w:lvlText w:val="●"/>
      <w:lvlJc w:val="left"/>
      <w:pPr>
        <w:ind w:left="720" w:hanging="360"/>
      </w:pPr>
    </w:lvl>
    <w:lvl w:ilvl="1" w:tplc="79D8D62A">
      <w:start w:val="1"/>
      <w:numFmt w:val="bullet"/>
      <w:lvlText w:val="○"/>
      <w:lvlJc w:val="left"/>
      <w:pPr>
        <w:ind w:left="1440" w:hanging="360"/>
      </w:pPr>
    </w:lvl>
    <w:lvl w:ilvl="2" w:tplc="BCE2AD60">
      <w:start w:val="1"/>
      <w:numFmt w:val="bullet"/>
      <w:lvlText w:val="■"/>
      <w:lvlJc w:val="left"/>
      <w:pPr>
        <w:ind w:left="2160" w:hanging="360"/>
      </w:pPr>
    </w:lvl>
    <w:lvl w:ilvl="3" w:tplc="D67E46A4">
      <w:start w:val="1"/>
      <w:numFmt w:val="bullet"/>
      <w:lvlText w:val="●"/>
      <w:lvlJc w:val="left"/>
      <w:pPr>
        <w:ind w:left="2880" w:hanging="360"/>
      </w:pPr>
    </w:lvl>
    <w:lvl w:ilvl="4" w:tplc="61848086">
      <w:start w:val="1"/>
      <w:numFmt w:val="bullet"/>
      <w:lvlText w:val="○"/>
      <w:lvlJc w:val="left"/>
      <w:pPr>
        <w:ind w:left="3600" w:hanging="360"/>
      </w:pPr>
    </w:lvl>
    <w:lvl w:ilvl="5" w:tplc="1ECCD834">
      <w:start w:val="1"/>
      <w:numFmt w:val="bullet"/>
      <w:lvlText w:val="■"/>
      <w:lvlJc w:val="left"/>
      <w:pPr>
        <w:ind w:left="4320" w:hanging="360"/>
      </w:pPr>
    </w:lvl>
    <w:lvl w:ilvl="6" w:tplc="0432458A">
      <w:start w:val="1"/>
      <w:numFmt w:val="bullet"/>
      <w:lvlText w:val="●"/>
      <w:lvlJc w:val="left"/>
      <w:pPr>
        <w:ind w:left="5040" w:hanging="360"/>
      </w:pPr>
    </w:lvl>
    <w:lvl w:ilvl="7" w:tplc="15769F8C">
      <w:start w:val="1"/>
      <w:numFmt w:val="bullet"/>
      <w:lvlText w:val="●"/>
      <w:lvlJc w:val="left"/>
      <w:pPr>
        <w:ind w:left="5760" w:hanging="360"/>
      </w:pPr>
    </w:lvl>
    <w:lvl w:ilvl="8" w:tplc="2F286DCC">
      <w:start w:val="1"/>
      <w:numFmt w:val="bullet"/>
      <w:lvlText w:val="●"/>
      <w:lvlJc w:val="left"/>
      <w:pPr>
        <w:ind w:left="6480" w:hanging="360"/>
      </w:pPr>
    </w:lvl>
  </w:abstractNum>
  <w:num w:numId="1" w16cid:durableId="13503188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isplayBackgroundShape/>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FB9"/>
    <w:rsid w:val="00166393"/>
    <w:rsid w:val="002C0484"/>
    <w:rsid w:val="002E161E"/>
    <w:rsid w:val="002E47A4"/>
    <w:rsid w:val="003512E7"/>
    <w:rsid w:val="00357FAD"/>
    <w:rsid w:val="0037437C"/>
    <w:rsid w:val="0038080E"/>
    <w:rsid w:val="003F1FB9"/>
    <w:rsid w:val="005E0532"/>
    <w:rsid w:val="006070A4"/>
    <w:rsid w:val="00742EBD"/>
    <w:rsid w:val="007B59AE"/>
    <w:rsid w:val="00873AC2"/>
    <w:rsid w:val="008F1F2D"/>
    <w:rsid w:val="00B87F1C"/>
    <w:rsid w:val="00C37138"/>
    <w:rsid w:val="00C81A2C"/>
    <w:rsid w:val="00CB4F2C"/>
    <w:rsid w:val="00D128C4"/>
    <w:rsid w:val="00DE15D9"/>
    <w:rsid w:val="00E92FFA"/>
  </w:rsids>
  <m:mathPr>
    <m:mathFont m:val="Cambria Math"/>
    <m:brkBin m:val="before"/>
    <m:brkBinSub m:val="--"/>
    <m:smallFrac m:val="0"/>
    <m:dispDef/>
    <m:lMargin m:val="0"/>
    <m:rMargin m:val="0"/>
    <m:defJc m:val="centerGroup"/>
    <m:wrapIndent m:val="1440"/>
    <m:intLim m:val="subSup"/>
    <m:naryLim m:val="undOvr"/>
  </m:mathPr>
  <w:themeFontLang w:val="es-PE"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9BEE3"/>
  <w15:docId w15:val="{D21328AD-81F8-436F-81DD-0F56182F5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PE" w:eastAsia="es-P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uiPriority w:val="9"/>
    <w:qFormat/>
    <w:pPr>
      <w:outlineLvl w:val="0"/>
    </w:pPr>
    <w:rPr>
      <w:color w:val="2E74B5"/>
      <w:sz w:val="32"/>
      <w:szCs w:val="32"/>
    </w:rPr>
  </w:style>
  <w:style w:type="paragraph" w:styleId="Ttulo2">
    <w:name w:val="heading 2"/>
    <w:uiPriority w:val="9"/>
    <w:semiHidden/>
    <w:unhideWhenUsed/>
    <w:qFormat/>
    <w:pPr>
      <w:outlineLvl w:val="1"/>
    </w:pPr>
    <w:rPr>
      <w:color w:val="2E74B5"/>
      <w:sz w:val="26"/>
      <w:szCs w:val="26"/>
    </w:rPr>
  </w:style>
  <w:style w:type="paragraph" w:styleId="Ttulo3">
    <w:name w:val="heading 3"/>
    <w:uiPriority w:val="9"/>
    <w:semiHidden/>
    <w:unhideWhenUsed/>
    <w:qFormat/>
    <w:pPr>
      <w:outlineLvl w:val="2"/>
    </w:pPr>
    <w:rPr>
      <w:color w:val="1F4D78"/>
      <w:sz w:val="24"/>
      <w:szCs w:val="24"/>
    </w:rPr>
  </w:style>
  <w:style w:type="paragraph" w:styleId="Ttulo4">
    <w:name w:val="heading 4"/>
    <w:uiPriority w:val="9"/>
    <w:semiHidden/>
    <w:unhideWhenUsed/>
    <w:qFormat/>
    <w:pPr>
      <w:outlineLvl w:val="3"/>
    </w:pPr>
    <w:rPr>
      <w:i/>
      <w:iCs/>
      <w:color w:val="2E74B5"/>
    </w:rPr>
  </w:style>
  <w:style w:type="paragraph" w:styleId="Ttulo5">
    <w:name w:val="heading 5"/>
    <w:uiPriority w:val="9"/>
    <w:semiHidden/>
    <w:unhideWhenUsed/>
    <w:qFormat/>
    <w:pPr>
      <w:outlineLvl w:val="4"/>
    </w:pPr>
    <w:rPr>
      <w:color w:val="2E74B5"/>
    </w:rPr>
  </w:style>
  <w:style w:type="paragraph" w:styleId="Ttulo6">
    <w:name w:val="heading 6"/>
    <w:uiPriority w:val="9"/>
    <w:semiHidden/>
    <w:unhideWhenUsed/>
    <w:qFormat/>
    <w:pPr>
      <w:outlineLvl w:val="5"/>
    </w:pPr>
    <w:rPr>
      <w:color w:val="1F4D7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uiPriority w:val="10"/>
    <w:qFormat/>
    <w:rPr>
      <w:sz w:val="56"/>
      <w:szCs w:val="56"/>
    </w:rPr>
  </w:style>
  <w:style w:type="paragraph" w:customStyle="1" w:styleId="Textoennegrita1">
    <w:name w:val="Texto en negrita1"/>
    <w:qFormat/>
    <w:rPr>
      <w:b/>
      <w:bCs/>
    </w:rPr>
  </w:style>
  <w:style w:type="paragraph" w:styleId="Prrafodelista">
    <w:name w:val="List Paragraph"/>
    <w:qFormat/>
  </w:style>
  <w:style w:type="character" w:styleId="Hipervnculo">
    <w:name w:val="Hyperlink"/>
    <w:uiPriority w:val="99"/>
    <w:unhideWhenUsed/>
    <w:rPr>
      <w:color w:val="0563C1"/>
      <w:u w:val="single"/>
    </w:rPr>
  </w:style>
  <w:style w:type="character" w:styleId="Refdenotaalpie">
    <w:name w:val="footnote reference"/>
    <w:uiPriority w:val="99"/>
    <w:semiHidden/>
    <w:unhideWhenUsed/>
    <w:rPr>
      <w:vertAlign w:val="superscript"/>
    </w:rPr>
  </w:style>
  <w:style w:type="paragraph" w:styleId="Textonotapie">
    <w:name w:val="footnote text"/>
    <w:link w:val="TextonotapieCar"/>
    <w:uiPriority w:val="99"/>
    <w:semiHidden/>
    <w:unhideWhenUsed/>
  </w:style>
  <w:style w:type="character" w:customStyle="1" w:styleId="TextonotapieCar">
    <w:name w:val="Texto nota pie Car"/>
    <w:link w:val="Textonotapie"/>
    <w:uiPriority w:val="99"/>
    <w:semiHidden/>
    <w:unhideWhenUsed/>
    <w:rPr>
      <w:sz w:val="20"/>
      <w:szCs w:val="20"/>
    </w:rPr>
  </w:style>
  <w:style w:type="character" w:styleId="Refdenotaalfinal">
    <w:name w:val="endnote reference"/>
    <w:uiPriority w:val="99"/>
    <w:semiHidden/>
    <w:unhideWhenUsed/>
    <w:rPr>
      <w:vertAlign w:val="superscript"/>
    </w:rPr>
  </w:style>
  <w:style w:type="paragraph" w:styleId="Textonotaalfinal">
    <w:name w:val="endnote text"/>
    <w:link w:val="TextonotaalfinalCar"/>
    <w:uiPriority w:val="99"/>
    <w:semiHidden/>
    <w:unhideWhenUsed/>
  </w:style>
  <w:style w:type="character" w:customStyle="1" w:styleId="TextonotaalfinalCar">
    <w:name w:val="Texto nota al final Car"/>
    <w:link w:val="Textonotaalfinal"/>
    <w:uiPriority w:val="99"/>
    <w:semiHidden/>
    <w:unhideWhenUsed/>
    <w:rPr>
      <w:sz w:val="20"/>
      <w:szCs w:val="20"/>
    </w:rPr>
  </w:style>
  <w:style w:type="character" w:styleId="Mencinsinresolver">
    <w:name w:val="Unresolved Mention"/>
    <w:basedOn w:val="Fuentedeprrafopredeter"/>
    <w:uiPriority w:val="99"/>
    <w:semiHidden/>
    <w:unhideWhenUsed/>
    <w:rsid w:val="0037437C"/>
    <w:rPr>
      <w:color w:val="605E5C"/>
      <w:shd w:val="clear" w:color="auto" w:fill="E1DFDD"/>
    </w:rPr>
  </w:style>
  <w:style w:type="paragraph" w:styleId="Encabezado">
    <w:name w:val="header"/>
    <w:basedOn w:val="Normal"/>
    <w:link w:val="EncabezadoCar"/>
    <w:uiPriority w:val="99"/>
    <w:unhideWhenUsed/>
    <w:rsid w:val="00B87F1C"/>
    <w:pPr>
      <w:tabs>
        <w:tab w:val="center" w:pos="4252"/>
        <w:tab w:val="right" w:pos="8504"/>
      </w:tabs>
    </w:pPr>
  </w:style>
  <w:style w:type="character" w:customStyle="1" w:styleId="EncabezadoCar">
    <w:name w:val="Encabezado Car"/>
    <w:basedOn w:val="Fuentedeprrafopredeter"/>
    <w:link w:val="Encabezado"/>
    <w:uiPriority w:val="99"/>
    <w:rsid w:val="00B87F1C"/>
  </w:style>
  <w:style w:type="paragraph" w:styleId="Piedepgina">
    <w:name w:val="footer"/>
    <w:basedOn w:val="Normal"/>
    <w:link w:val="PiedepginaCar"/>
    <w:uiPriority w:val="99"/>
    <w:unhideWhenUsed/>
    <w:rsid w:val="00B87F1C"/>
    <w:pPr>
      <w:tabs>
        <w:tab w:val="center" w:pos="4252"/>
        <w:tab w:val="right" w:pos="8504"/>
      </w:tabs>
    </w:pPr>
  </w:style>
  <w:style w:type="character" w:customStyle="1" w:styleId="PiedepginaCar">
    <w:name w:val="Pie de página Car"/>
    <w:basedOn w:val="Fuentedeprrafopredeter"/>
    <w:link w:val="Piedepgina"/>
    <w:uiPriority w:val="99"/>
    <w:rsid w:val="00B87F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image" Target="media/image3.jpg"/><Relationship Id="rId18" Type="http://schemas.openxmlformats.org/officeDocument/2006/relationships/image" Target="media/image8.jpg"/><Relationship Id="rId26" Type="http://schemas.openxmlformats.org/officeDocument/2006/relationships/hyperlink" Target="https://doi.org/10.1016/0304-405X(76)90026-X" TargetMode="External"/><Relationship Id="rId39" Type="http://schemas.openxmlformats.org/officeDocument/2006/relationships/footer" Target="footer1.xml"/><Relationship Id="rId21" Type="http://schemas.openxmlformats.org/officeDocument/2006/relationships/hyperlink" Target="https://doi.org/10.1111/1540-6261.00414" TargetMode="External"/><Relationship Id="rId34" Type="http://schemas.openxmlformats.org/officeDocument/2006/relationships/hyperlink" Target="https://doi.org/10.2307/3665310" TargetMode="Externa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image" Target="media/image6.jpg"/><Relationship Id="rId20" Type="http://schemas.openxmlformats.org/officeDocument/2006/relationships/hyperlink" Target="https://arxiv.org/abs/2502.14393" TargetMode="External"/><Relationship Id="rId29" Type="http://schemas.openxmlformats.org/officeDocument/2006/relationships/hyperlink" Target="https://dspace.ups.edu.ec/bitstream/123456789/22882/1/UPS-GT003866.pdf"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orcid.org/0000-0003-3790-1489" TargetMode="External"/><Relationship Id="rId24" Type="http://schemas.openxmlformats.org/officeDocument/2006/relationships/hyperlink" Target="https://lacamara.pe/inestabilidad-politica-afecta-el-crecimiento-empresarial-en-el-peru/" TargetMode="External"/><Relationship Id="rId32" Type="http://schemas.openxmlformats.org/officeDocument/2006/relationships/hyperlink" Target="https://doi.org/10.1016/0304-405X(84)90023-0" TargetMode="External"/><Relationship Id="rId37" Type="http://schemas.openxmlformats.org/officeDocument/2006/relationships/hyperlink" Target="https://repositorioacademico.upc.edu.pe/handle/10757/675867" TargetMode="Externa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5.jpg"/><Relationship Id="rId23" Type="http://schemas.openxmlformats.org/officeDocument/2006/relationships/hyperlink" Target="https://www.bcrp.gob.pe/publicaciones/reporte-estabilidad-financiera.html" TargetMode="External"/><Relationship Id="rId28" Type="http://schemas.openxmlformats.org/officeDocument/2006/relationships/hyperlink" Target="https://repositorio.upeu.edu.pe/server/api/core/bitstreams/0404da78-d93c-4700-a70b-753cfe8b5ab6/content" TargetMode="External"/><Relationship Id="rId36" Type="http://schemas.openxmlformats.org/officeDocument/2006/relationships/hyperlink" Target="https://www.oracle.com/latam/erp/cfo/cfo-challenges/" TargetMode="External"/><Relationship Id="rId10" Type="http://schemas.openxmlformats.org/officeDocument/2006/relationships/hyperlink" Target="mailto:laguerod@unmsm.edu.pe" TargetMode="External"/><Relationship Id="rId19" Type="http://schemas.openxmlformats.org/officeDocument/2006/relationships/image" Target="media/image9.jpg"/><Relationship Id="rId31" Type="http://schemas.openxmlformats.org/officeDocument/2006/relationships/hyperlink" Target="https://tesis.pucp.edu.pe/server/api/core/bitstreams/ada611bd-d2e1-4495-b1ec-117524deb846/content" TargetMode="External"/><Relationship Id="rId4" Type="http://schemas.openxmlformats.org/officeDocument/2006/relationships/webSettings" Target="webSettings.xml"/><Relationship Id="rId9" Type="http://schemas.openxmlformats.org/officeDocument/2006/relationships/hyperlink" Target="https://orcid.org/0009-0006-7445-8497" TargetMode="External"/><Relationship Id="rId14" Type="http://schemas.openxmlformats.org/officeDocument/2006/relationships/image" Target="media/image4.jpg"/><Relationship Id="rId22" Type="http://schemas.openxmlformats.org/officeDocument/2006/relationships/hyperlink" Target="https://www.bcrp.gob.pe/publicaciones/reporte-de-inflacion.html" TargetMode="External"/><Relationship Id="rId27" Type="http://schemas.openxmlformats.org/officeDocument/2006/relationships/hyperlink" Target="https://doi.org/10.1111/j.1540-6261.1973.tb01415.x" TargetMode="External"/><Relationship Id="rId30" Type="http://schemas.openxmlformats.org/officeDocument/2006/relationships/hyperlink" Target="https://www.jstor.org/stable/1809766" TargetMode="External"/><Relationship Id="rId35" Type="http://schemas.openxmlformats.org/officeDocument/2006/relationships/hyperlink" Target="https://doi.org/10.1016/j.asoc.2016.09.030" TargetMode="External"/><Relationship Id="rId8" Type="http://schemas.openxmlformats.org/officeDocument/2006/relationships/hyperlink" Target="mailto:monica.huarcaya@unmsm.edu.pe" TargetMode="External"/><Relationship Id="rId3"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g"/><Relationship Id="rId25" Type="http://schemas.openxmlformats.org/officeDocument/2006/relationships/hyperlink" Target="https://arxiv.org/abs/1707.06635" TargetMode="External"/><Relationship Id="rId33" Type="http://schemas.openxmlformats.org/officeDocument/2006/relationships/hyperlink" Target="https://repositorio.up.edu.pe/item/a34987cc-558e-4760-86ac-51d0780380fd" TargetMode="External"/><Relationship Id="rId38" Type="http://schemas.openxmlformats.org/officeDocument/2006/relationships/hyperlink" Target="https://simon.rochester.edu/blog/deans-corner/modern-approach-corporate-finance"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10.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225</TotalTime>
  <Pages>20</Pages>
  <Words>6958</Words>
  <Characters>38272</Characters>
  <Application>Microsoft Office Word</Application>
  <DocSecurity>0</DocSecurity>
  <Lines>318</Lines>
  <Paragraphs>90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Transmisor</cp:lastModifiedBy>
  <cp:revision>10</cp:revision>
  <cp:lastPrinted>2026-08-21T11:57:00Z</cp:lastPrinted>
  <dcterms:created xsi:type="dcterms:W3CDTF">2026-07-10T18:15:00Z</dcterms:created>
  <dcterms:modified xsi:type="dcterms:W3CDTF">2026-08-22T14:36:00Z</dcterms:modified>
</cp:coreProperties>
</file>